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DD1E" w14:textId="77777777" w:rsidR="00EE1479" w:rsidRDefault="00EE1479" w:rsidP="00EE1479">
      <w:pPr>
        <w:spacing w:after="0"/>
        <w:contextualSpacing/>
        <w:jc w:val="center"/>
        <w:rPr>
          <w:rFonts w:ascii="Avenir Next LT Pro" w:hAnsi="Avenir Next LT Pro" w:cs="Times New Roman"/>
          <w:b/>
          <w:bCs/>
        </w:rPr>
      </w:pPr>
      <w:r w:rsidRPr="00CA0C94">
        <w:rPr>
          <w:rFonts w:ascii="Avenir Next LT Pro" w:hAnsi="Avenir Next LT Pro" w:cs="Times New Roman"/>
          <w:b/>
          <w:bCs/>
        </w:rPr>
        <w:t>New York eHealth Collaborative</w:t>
      </w:r>
    </w:p>
    <w:p w14:paraId="56066698" w14:textId="609AD8CF" w:rsidR="00613F3F" w:rsidRPr="00CA0C94" w:rsidRDefault="00613F3F" w:rsidP="00EE1479">
      <w:pPr>
        <w:spacing w:after="0"/>
        <w:contextualSpacing/>
        <w:jc w:val="center"/>
        <w:rPr>
          <w:rFonts w:ascii="Avenir Next LT Pro" w:hAnsi="Avenir Next LT Pro" w:cs="Times New Roman"/>
          <w:b/>
          <w:bCs/>
        </w:rPr>
      </w:pPr>
      <w:r>
        <w:rPr>
          <w:rFonts w:ascii="Avenir Next LT Pro" w:hAnsi="Avenir Next LT Pro" w:cs="Times New Roman"/>
          <w:b/>
          <w:bCs/>
        </w:rPr>
        <w:t>Frequently Asked Questions:</w:t>
      </w:r>
    </w:p>
    <w:p w14:paraId="000993CE" w14:textId="706408AB" w:rsidR="00EE1479" w:rsidRPr="00CA0C94" w:rsidRDefault="00613F3F" w:rsidP="00EE1479">
      <w:pPr>
        <w:spacing w:after="0"/>
        <w:contextualSpacing/>
        <w:jc w:val="center"/>
        <w:rPr>
          <w:rFonts w:ascii="Avenir Next LT Pro" w:hAnsi="Avenir Next LT Pro" w:cs="Times New Roman"/>
          <w:b/>
          <w:bCs/>
        </w:rPr>
      </w:pPr>
      <w:r>
        <w:rPr>
          <w:rFonts w:ascii="Avenir Next LT Pro" w:hAnsi="Avenir Next LT Pro" w:cs="Times New Roman"/>
          <w:b/>
          <w:bCs/>
        </w:rPr>
        <w:t xml:space="preserve">Signing the </w:t>
      </w:r>
      <w:r w:rsidR="00EE1479" w:rsidRPr="00CA0C94">
        <w:rPr>
          <w:rFonts w:ascii="Avenir Next LT Pro" w:hAnsi="Avenir Next LT Pro" w:cs="Times New Roman"/>
          <w:b/>
          <w:bCs/>
        </w:rPr>
        <w:t>SHIN-NY Statewide Common Participation Agreement</w:t>
      </w:r>
    </w:p>
    <w:p w14:paraId="37A7239B" w14:textId="6F0E3496" w:rsidR="00EE1479" w:rsidRPr="00CA0C94" w:rsidRDefault="00EE1479" w:rsidP="00EE1479">
      <w:pPr>
        <w:spacing w:after="0"/>
        <w:contextualSpacing/>
        <w:jc w:val="center"/>
        <w:rPr>
          <w:rFonts w:ascii="Avenir Next LT Pro" w:hAnsi="Avenir Next LT Pro" w:cs="Times New Roman"/>
          <w:b/>
          <w:bCs/>
        </w:rPr>
      </w:pPr>
      <w:r>
        <w:rPr>
          <w:rFonts w:ascii="Avenir Next LT Pro" w:hAnsi="Avenir Next LT Pro" w:cs="Times New Roman"/>
          <w:b/>
          <w:bCs/>
        </w:rPr>
        <w:t>March 2025</w:t>
      </w:r>
    </w:p>
    <w:p w14:paraId="0793CAC8" w14:textId="7B03E37D" w:rsidR="00EE1479" w:rsidRPr="00CA0C94" w:rsidRDefault="00EE1479" w:rsidP="00EE1479">
      <w:pPr>
        <w:pBdr>
          <w:bottom w:val="single" w:sz="4" w:space="1" w:color="auto"/>
        </w:pBdr>
        <w:spacing w:after="120"/>
        <w:rPr>
          <w:rFonts w:ascii="Avenir Next LT Pro" w:hAnsi="Avenir Next LT Pro" w:cs="Times New Roman"/>
          <w:b/>
          <w:bCs/>
        </w:rPr>
      </w:pPr>
    </w:p>
    <w:p w14:paraId="4BD70AFC" w14:textId="77777777" w:rsidR="00EE1479" w:rsidRPr="00CA0C94" w:rsidRDefault="00EE1479" w:rsidP="00EE1479">
      <w:pPr>
        <w:pStyle w:val="ListParagraph"/>
        <w:numPr>
          <w:ilvl w:val="0"/>
          <w:numId w:val="6"/>
        </w:numPr>
        <w:spacing w:after="120"/>
        <w:rPr>
          <w:rFonts w:ascii="Avenir Next LT Pro" w:hAnsi="Avenir Next LT Pro" w:cs="Times New Roman"/>
        </w:rPr>
      </w:pPr>
      <w:r w:rsidRPr="00CA0C94">
        <w:rPr>
          <w:rFonts w:ascii="Avenir Next LT Pro" w:hAnsi="Avenir Next LT Pro" w:cs="Times New Roman"/>
          <w:b/>
          <w:bCs/>
          <w:i/>
          <w:iCs/>
        </w:rPr>
        <w:t>What is the SCPA?</w:t>
      </w:r>
    </w:p>
    <w:p w14:paraId="13CD4575" w14:textId="5E5290F2" w:rsidR="00EE1479" w:rsidRPr="00CA0C94" w:rsidRDefault="00F016C5" w:rsidP="00EE1479">
      <w:pPr>
        <w:spacing w:after="120"/>
        <w:rPr>
          <w:rFonts w:ascii="Avenir Next LT Pro" w:hAnsi="Avenir Next LT Pro" w:cs="Times New Roman"/>
        </w:rPr>
      </w:pPr>
      <w:r w:rsidRPr="00CA0C94">
        <w:rPr>
          <w:rFonts w:ascii="Avenir Next LT Pro" w:hAnsi="Avenir Next LT Pro" w:cs="Times New Roman"/>
        </w:rPr>
        <w:t xml:space="preserve">The Statewide Common Participation Agreement (SCPA) </w:t>
      </w:r>
      <w:r>
        <w:rPr>
          <w:rFonts w:ascii="Avenir Next LT Pro" w:hAnsi="Avenir Next LT Pro" w:cs="Times New Roman"/>
        </w:rPr>
        <w:t xml:space="preserve">is </w:t>
      </w:r>
      <w:r w:rsidRPr="00CA0C94">
        <w:rPr>
          <w:rFonts w:ascii="Avenir Next LT Pro" w:hAnsi="Avenir Next LT Pro" w:cs="Times New Roman"/>
        </w:rPr>
        <w:t>the contract that will govern the</w:t>
      </w:r>
      <w:r>
        <w:t xml:space="preserve"> </w:t>
      </w:r>
      <w:r w:rsidR="00EE1479" w:rsidRPr="00CA0C94">
        <w:rPr>
          <w:rFonts w:ascii="Avenir Next LT Pro" w:hAnsi="Avenir Next LT Pro" w:cs="Times New Roman"/>
        </w:rPr>
        <w:t xml:space="preserve">relationship between the Health Information Networks (HINs) that </w:t>
      </w:r>
      <w:r>
        <w:rPr>
          <w:rFonts w:ascii="Avenir Next LT Pro" w:hAnsi="Avenir Next LT Pro" w:cs="Times New Roman"/>
        </w:rPr>
        <w:t>comprise</w:t>
      </w:r>
      <w:r w:rsidR="00EE1479" w:rsidRPr="00CA0C94">
        <w:rPr>
          <w:rFonts w:ascii="Avenir Next LT Pro" w:hAnsi="Avenir Next LT Pro" w:cs="Times New Roman"/>
        </w:rPr>
        <w:t xml:space="preserve"> the Statewide Health Information Network for New York (SHIN-NY) and the individuals and organizations that participate in the SHIN-NY (SHIN-NY participants).  </w:t>
      </w:r>
    </w:p>
    <w:p w14:paraId="35D56FDF" w14:textId="58319501" w:rsidR="00F016C5" w:rsidRDefault="00F016C5" w:rsidP="00F016C5">
      <w:pPr>
        <w:rPr>
          <w:rFonts w:ascii="Avenir Next LT Pro" w:hAnsi="Avenir Next LT Pro" w:cs="Times New Roman"/>
        </w:rPr>
      </w:pPr>
      <w:r>
        <w:rPr>
          <w:rFonts w:ascii="Avenir Next LT Pro" w:hAnsi="Avenir Next LT Pro" w:cs="Times New Roman"/>
        </w:rPr>
        <w:t>All SHIN-NY participants are required to execute the S</w:t>
      </w:r>
      <w:r w:rsidRPr="00F016C5">
        <w:rPr>
          <w:rFonts w:ascii="Avenir Next LT Pro" w:hAnsi="Avenir Next LT Pro" w:cs="Times New Roman"/>
        </w:rPr>
        <w:t xml:space="preserve">CPA </w:t>
      </w:r>
      <w:r>
        <w:rPr>
          <w:rFonts w:ascii="Avenir Next LT Pro" w:hAnsi="Avenir Next LT Pro" w:cs="Times New Roman"/>
        </w:rPr>
        <w:t xml:space="preserve">pursuant to the regulations governing the SHIN-NY </w:t>
      </w:r>
      <w:r w:rsidRPr="00F016C5">
        <w:rPr>
          <w:rFonts w:ascii="Avenir Next LT Pro" w:hAnsi="Avenir Next LT Pro" w:cs="Times New Roman"/>
        </w:rPr>
        <w:t xml:space="preserve">(10 NYCRR Part 300), which the New York State Department of Health (DOH) </w:t>
      </w:r>
      <w:r>
        <w:rPr>
          <w:rFonts w:ascii="Avenir Next LT Pro" w:hAnsi="Avenir Next LT Pro" w:cs="Times New Roman"/>
        </w:rPr>
        <w:t xml:space="preserve">amended </w:t>
      </w:r>
      <w:r w:rsidRPr="00F016C5">
        <w:rPr>
          <w:rFonts w:ascii="Avenir Next LT Pro" w:hAnsi="Avenir Next LT Pro" w:cs="Times New Roman"/>
        </w:rPr>
        <w:t>in July 2024.</w:t>
      </w:r>
    </w:p>
    <w:p w14:paraId="62CACD67" w14:textId="77777777" w:rsidR="00F016C5" w:rsidRPr="00CA0C94" w:rsidRDefault="00F016C5" w:rsidP="00F016C5">
      <w:pPr>
        <w:rPr>
          <w:rFonts w:ascii="Avenir Next LT Pro" w:hAnsi="Avenir Next LT Pro" w:cs="Times New Roman"/>
        </w:rPr>
      </w:pPr>
    </w:p>
    <w:p w14:paraId="07EBE9C0" w14:textId="77777777" w:rsidR="00EE1479" w:rsidRPr="00CA0C94" w:rsidRDefault="00EE1479" w:rsidP="00EE1479">
      <w:pPr>
        <w:pStyle w:val="ListParagraph"/>
        <w:numPr>
          <w:ilvl w:val="0"/>
          <w:numId w:val="6"/>
        </w:numPr>
        <w:spacing w:after="120"/>
        <w:rPr>
          <w:rFonts w:ascii="Avenir Next LT Pro" w:hAnsi="Avenir Next LT Pro" w:cs="Times New Roman"/>
        </w:rPr>
      </w:pPr>
      <w:r w:rsidRPr="00CA0C94">
        <w:rPr>
          <w:rFonts w:ascii="Avenir Next LT Pro" w:hAnsi="Avenir Next LT Pro" w:cs="Times New Roman"/>
          <w:b/>
          <w:bCs/>
          <w:i/>
          <w:iCs/>
        </w:rPr>
        <w:t>How will the SCPA change my organization’s participation in the SHIN-NY?</w:t>
      </w:r>
    </w:p>
    <w:p w14:paraId="007330F6" w14:textId="77777777" w:rsidR="00EE1479" w:rsidRPr="00CA0C94" w:rsidRDefault="00EE1479" w:rsidP="00EE1479">
      <w:pPr>
        <w:spacing w:after="120"/>
        <w:rPr>
          <w:rFonts w:ascii="Avenir Next LT Pro" w:hAnsi="Avenir Next LT Pro" w:cs="Times New Roman"/>
        </w:rPr>
      </w:pPr>
      <w:r w:rsidRPr="00CA0C94">
        <w:rPr>
          <w:rFonts w:ascii="Avenir Next LT Pro" w:hAnsi="Avenir Next LT Pro" w:cs="Times New Roman"/>
        </w:rPr>
        <w:t xml:space="preserve">The SCPA is intended to make participation in the SHIN-NY </w:t>
      </w:r>
      <w:r w:rsidRPr="00CA0C94">
        <w:rPr>
          <w:rFonts w:ascii="Avenir Next LT Pro" w:hAnsi="Avenir Next LT Pro" w:cs="Times New Roman"/>
          <w:b/>
          <w:bCs/>
        </w:rPr>
        <w:t>more valuable and efficient</w:t>
      </w:r>
      <w:r w:rsidRPr="00CA0C94">
        <w:rPr>
          <w:rFonts w:ascii="Avenir Next LT Pro" w:hAnsi="Avenir Next LT Pro" w:cs="Times New Roman"/>
        </w:rPr>
        <w:t xml:space="preserve">, and will allow the SHIN-NY to adapt to change and advances in health information exchange and to offer participants meaningful choices in how and where they receive SHIN-NY services. </w:t>
      </w:r>
    </w:p>
    <w:p w14:paraId="0D918315" w14:textId="77777777" w:rsidR="00EE1479" w:rsidRPr="00CA0C94" w:rsidRDefault="00EE1479" w:rsidP="00EE1479">
      <w:pPr>
        <w:spacing w:after="120"/>
        <w:rPr>
          <w:rFonts w:ascii="Avenir Next LT Pro" w:hAnsi="Avenir Next LT Pro" w:cs="Times New Roman"/>
        </w:rPr>
      </w:pPr>
      <w:r w:rsidRPr="00CA0C94">
        <w:rPr>
          <w:rFonts w:ascii="Avenir Next LT Pro" w:hAnsi="Avenir Next LT Pro" w:cs="Times New Roman"/>
        </w:rPr>
        <w:t>Key benefits of SHIN-NY participation under the SCPA include:</w:t>
      </w:r>
    </w:p>
    <w:p w14:paraId="225E80E4" w14:textId="77777777" w:rsidR="00EE1479" w:rsidRPr="00CA0C94" w:rsidRDefault="00EE1479" w:rsidP="00EE1479">
      <w:pPr>
        <w:pStyle w:val="ListParagraph"/>
        <w:numPr>
          <w:ilvl w:val="0"/>
          <w:numId w:val="7"/>
        </w:numPr>
        <w:spacing w:after="120"/>
        <w:rPr>
          <w:rFonts w:ascii="Avenir Next LT Pro" w:hAnsi="Avenir Next LT Pro" w:cs="Times New Roman"/>
        </w:rPr>
      </w:pPr>
      <w:proofErr w:type="gramStart"/>
      <w:r w:rsidRPr="00CA0C94">
        <w:rPr>
          <w:rFonts w:ascii="Avenir Next LT Pro" w:hAnsi="Avenir Next LT Pro" w:cs="Times New Roman"/>
        </w:rPr>
        <w:t>Consistency</w:t>
      </w:r>
      <w:proofErr w:type="gramEnd"/>
      <w:r w:rsidRPr="00CA0C94">
        <w:rPr>
          <w:rFonts w:ascii="Avenir Next LT Pro" w:hAnsi="Avenir Next LT Pro" w:cs="Times New Roman"/>
        </w:rPr>
        <w:t xml:space="preserve"> in how health information may be shared and used, which will also allow the SHIN-NY to build a structure for more </w:t>
      </w:r>
      <w:r w:rsidRPr="00CA0C94">
        <w:rPr>
          <w:rFonts w:ascii="Avenir Next LT Pro" w:hAnsi="Avenir Next LT Pro" w:cs="Times New Roman"/>
          <w:u w:val="single"/>
        </w:rPr>
        <w:t>efficient and transparent data governance</w:t>
      </w:r>
      <w:r w:rsidRPr="00CA0C94">
        <w:rPr>
          <w:rFonts w:ascii="Avenir Next LT Pro" w:hAnsi="Avenir Next LT Pro" w:cs="Times New Roman"/>
        </w:rPr>
        <w:t xml:space="preserve"> across the SHIN-NY.</w:t>
      </w:r>
    </w:p>
    <w:p w14:paraId="1E837084" w14:textId="77777777" w:rsidR="00EE1479" w:rsidRPr="00CA0C94" w:rsidRDefault="00EE1479" w:rsidP="00EE1479">
      <w:pPr>
        <w:pStyle w:val="ListParagraph"/>
        <w:numPr>
          <w:ilvl w:val="0"/>
          <w:numId w:val="7"/>
        </w:numPr>
        <w:spacing w:after="120"/>
        <w:rPr>
          <w:rFonts w:ascii="Avenir Next LT Pro" w:hAnsi="Avenir Next LT Pro" w:cs="Times New Roman"/>
        </w:rPr>
      </w:pPr>
      <w:proofErr w:type="gramStart"/>
      <w:r w:rsidRPr="00CA0C94">
        <w:rPr>
          <w:rFonts w:ascii="Avenir Next LT Pro" w:hAnsi="Avenir Next LT Pro" w:cs="Times New Roman"/>
        </w:rPr>
        <w:t>Consistency</w:t>
      </w:r>
      <w:proofErr w:type="gramEnd"/>
      <w:r w:rsidRPr="00CA0C94">
        <w:rPr>
          <w:rFonts w:ascii="Avenir Next LT Pro" w:hAnsi="Avenir Next LT Pro" w:cs="Times New Roman"/>
        </w:rPr>
        <w:t xml:space="preserve"> </w:t>
      </w:r>
      <w:r w:rsidRPr="00CA0C94">
        <w:rPr>
          <w:rFonts w:ascii="Avenir Next LT Pro" w:hAnsi="Avenir Next LT Pro" w:cs="Times New Roman"/>
          <w:u w:val="single"/>
        </w:rPr>
        <w:t>in services</w:t>
      </w:r>
      <w:r w:rsidRPr="00CA0C94">
        <w:rPr>
          <w:rFonts w:ascii="Avenir Next LT Pro" w:hAnsi="Avenir Next LT Pro" w:cs="Times New Roman"/>
        </w:rPr>
        <w:t xml:space="preserve"> provided to participants and, where participants aren’t satisfied with the services they’re receiving, real </w:t>
      </w:r>
      <w:r w:rsidRPr="00CA0C94">
        <w:rPr>
          <w:rFonts w:ascii="Avenir Next LT Pro" w:hAnsi="Avenir Next LT Pro" w:cs="Times New Roman"/>
          <w:u w:val="single"/>
        </w:rPr>
        <w:t>choices</w:t>
      </w:r>
      <w:r w:rsidRPr="00CA0C94">
        <w:rPr>
          <w:rFonts w:ascii="Avenir Next LT Pro" w:hAnsi="Avenir Next LT Pro" w:cs="Times New Roman"/>
        </w:rPr>
        <w:t xml:space="preserve"> about how and where to get their services.</w:t>
      </w:r>
    </w:p>
    <w:p w14:paraId="33802895" w14:textId="72235065" w:rsidR="00EE1479" w:rsidRPr="00CA0C94" w:rsidRDefault="00EE1479" w:rsidP="00EE1479">
      <w:pPr>
        <w:pStyle w:val="ListParagraph"/>
        <w:numPr>
          <w:ilvl w:val="0"/>
          <w:numId w:val="7"/>
        </w:numPr>
        <w:spacing w:after="120"/>
        <w:rPr>
          <w:rFonts w:ascii="Avenir Next LT Pro" w:hAnsi="Avenir Next LT Pro" w:cs="Times New Roman"/>
        </w:rPr>
      </w:pPr>
      <w:r w:rsidRPr="00CA0C94">
        <w:rPr>
          <w:rFonts w:ascii="Avenir Next LT Pro" w:hAnsi="Avenir Next LT Pro" w:cs="Times New Roman"/>
        </w:rPr>
        <w:t xml:space="preserve">With the evolution and advancement of new technology in health information exchange and national networks, the SCPA also allows for </w:t>
      </w:r>
      <w:r w:rsidRPr="00CA0C94">
        <w:rPr>
          <w:rFonts w:ascii="Avenir Next LT Pro" w:hAnsi="Avenir Next LT Pro" w:cs="Times New Roman"/>
          <w:u w:val="single"/>
        </w:rPr>
        <w:t>flexibility in how participants connect and contribute data</w:t>
      </w:r>
      <w:r w:rsidRPr="00CA0C94">
        <w:rPr>
          <w:rFonts w:ascii="Avenir Next LT Pro" w:hAnsi="Avenir Next LT Pro" w:cs="Times New Roman"/>
        </w:rPr>
        <w:t xml:space="preserve"> to the SHIN-NY.  Where the SHIN-NY might be able to rely on those national networks for data exchange in the future, it will be a more effective and valuable to resource to the New York healthcare ecosystem.</w:t>
      </w:r>
    </w:p>
    <w:p w14:paraId="56A1B18C" w14:textId="77777777" w:rsidR="00EE1479" w:rsidRPr="00CA0C94" w:rsidRDefault="00EE1479" w:rsidP="00EE1479">
      <w:pPr>
        <w:pStyle w:val="ListParagraph"/>
        <w:numPr>
          <w:ilvl w:val="0"/>
          <w:numId w:val="7"/>
        </w:numPr>
        <w:spacing w:after="120"/>
        <w:rPr>
          <w:rFonts w:ascii="Avenir Next LT Pro" w:hAnsi="Avenir Next LT Pro" w:cs="Times New Roman"/>
        </w:rPr>
      </w:pPr>
      <w:r w:rsidRPr="00CA0C94">
        <w:rPr>
          <w:rFonts w:ascii="Avenir Next LT Pro" w:hAnsi="Avenir Next LT Pro" w:cs="Times New Roman"/>
        </w:rPr>
        <w:t xml:space="preserve">The ability to develop </w:t>
      </w:r>
      <w:r w:rsidRPr="00CA0C94">
        <w:rPr>
          <w:rFonts w:ascii="Avenir Next LT Pro" w:hAnsi="Avenir Next LT Pro" w:cs="Times New Roman"/>
          <w:u w:val="single"/>
        </w:rPr>
        <w:t>consistent SHIN-NY standards for interoperability with input from participants</w:t>
      </w:r>
      <w:r w:rsidRPr="00CA0C94">
        <w:rPr>
          <w:rFonts w:ascii="Avenir Next LT Pro" w:hAnsi="Avenir Next LT Pro" w:cs="Times New Roman"/>
        </w:rPr>
        <w:t xml:space="preserve"> that allow the SHIN-NY to adapt to current technology and best practices.</w:t>
      </w:r>
    </w:p>
    <w:p w14:paraId="14252466" w14:textId="77777777" w:rsidR="00EE1479" w:rsidRPr="00CA0C94" w:rsidRDefault="00EE1479" w:rsidP="00EE1479">
      <w:pPr>
        <w:spacing w:after="120"/>
        <w:rPr>
          <w:rFonts w:ascii="Avenir Next LT Pro" w:hAnsi="Avenir Next LT Pro" w:cs="Times New Roman"/>
          <w:i/>
          <w:iCs/>
        </w:rPr>
      </w:pPr>
    </w:p>
    <w:p w14:paraId="7750B8F4" w14:textId="77777777" w:rsidR="00EE1479" w:rsidRPr="00CA0C94" w:rsidRDefault="00EE1479" w:rsidP="00EE1479">
      <w:pPr>
        <w:pStyle w:val="ListParagraph"/>
        <w:numPr>
          <w:ilvl w:val="0"/>
          <w:numId w:val="6"/>
        </w:numPr>
        <w:spacing w:after="120"/>
        <w:rPr>
          <w:rFonts w:ascii="Avenir Next LT Pro" w:hAnsi="Avenir Next LT Pro" w:cs="Times New Roman"/>
          <w:b/>
          <w:bCs/>
          <w:i/>
          <w:iCs/>
        </w:rPr>
      </w:pPr>
      <w:r w:rsidRPr="00CA0C94">
        <w:rPr>
          <w:rFonts w:ascii="Avenir Next LT Pro" w:hAnsi="Avenir Next LT Pro" w:cs="Times New Roman"/>
          <w:b/>
          <w:bCs/>
          <w:i/>
          <w:iCs/>
        </w:rPr>
        <w:t>Is my organization required to sign the SCPA?</w:t>
      </w:r>
    </w:p>
    <w:p w14:paraId="29B5C047" w14:textId="7403B75D" w:rsidR="00F016C5" w:rsidRDefault="001D3AE8" w:rsidP="00F016C5">
      <w:pPr>
        <w:rPr>
          <w:rFonts w:ascii="Avenir Next LT Pro" w:hAnsi="Avenir Next LT Pro" w:cs="Times New Roman"/>
        </w:rPr>
      </w:pPr>
      <w:r>
        <w:rPr>
          <w:rFonts w:ascii="Avenir Next LT Pro" w:hAnsi="Avenir Next LT Pro" w:cs="Times New Roman"/>
        </w:rPr>
        <w:t>A</w:t>
      </w:r>
      <w:r w:rsidR="00F016C5">
        <w:rPr>
          <w:rFonts w:ascii="Avenir Next LT Pro" w:hAnsi="Avenir Next LT Pro" w:cs="Times New Roman"/>
        </w:rPr>
        <w:t>ll SHIN-NY participants are required to execute the S</w:t>
      </w:r>
      <w:r w:rsidR="00F016C5" w:rsidRPr="00F016C5">
        <w:rPr>
          <w:rFonts w:ascii="Avenir Next LT Pro" w:hAnsi="Avenir Next LT Pro" w:cs="Times New Roman"/>
        </w:rPr>
        <w:t xml:space="preserve">CPA </w:t>
      </w:r>
      <w:r w:rsidR="00F016C5">
        <w:rPr>
          <w:rFonts w:ascii="Avenir Next LT Pro" w:hAnsi="Avenir Next LT Pro" w:cs="Times New Roman"/>
        </w:rPr>
        <w:t xml:space="preserve">pursuant to the regulations governing the SHIN-NY </w:t>
      </w:r>
      <w:r w:rsidR="00F016C5" w:rsidRPr="00F016C5">
        <w:rPr>
          <w:rFonts w:ascii="Avenir Next LT Pro" w:hAnsi="Avenir Next LT Pro" w:cs="Times New Roman"/>
        </w:rPr>
        <w:t xml:space="preserve">(10 NYCRR Part 300), which the New York State Department of Health (DOH) </w:t>
      </w:r>
      <w:r w:rsidR="00F016C5">
        <w:rPr>
          <w:rFonts w:ascii="Avenir Next LT Pro" w:hAnsi="Avenir Next LT Pro" w:cs="Times New Roman"/>
        </w:rPr>
        <w:t xml:space="preserve">amended </w:t>
      </w:r>
      <w:r w:rsidR="00F016C5" w:rsidRPr="00F016C5">
        <w:rPr>
          <w:rFonts w:ascii="Avenir Next LT Pro" w:hAnsi="Avenir Next LT Pro" w:cs="Times New Roman"/>
        </w:rPr>
        <w:t>in July 2024.</w:t>
      </w:r>
    </w:p>
    <w:p w14:paraId="0FEB0C02" w14:textId="656C1D0F" w:rsidR="00F54079" w:rsidRPr="00CA0C94" w:rsidRDefault="00F54079" w:rsidP="00F54079">
      <w:pPr>
        <w:spacing w:after="120"/>
        <w:rPr>
          <w:rFonts w:ascii="Avenir Next LT Pro" w:hAnsi="Avenir Next LT Pro" w:cs="Times New Roman"/>
        </w:rPr>
      </w:pPr>
      <w:r w:rsidRPr="00CA0C94">
        <w:rPr>
          <w:rFonts w:ascii="Avenir Next LT Pro" w:hAnsi="Avenir Next LT Pro" w:cs="Times New Roman"/>
        </w:rPr>
        <w:lastRenderedPageBreak/>
        <w:t xml:space="preserve">Under 10 N.Y.C.R.R. § 300.6(a), certain organizations – called “Regulated Participants” in the SCPA – must connect to the SHIN-NY and therefore must sign the SCPA.  These organizations are health care facilities as defined in section 18(c)(1) of the Public Health Law, which </w:t>
      </w:r>
      <w:proofErr w:type="gramStart"/>
      <w:r w:rsidRPr="00CA0C94">
        <w:rPr>
          <w:rFonts w:ascii="Avenir Next LT Pro" w:hAnsi="Avenir Next LT Pro" w:cs="Times New Roman"/>
        </w:rPr>
        <w:t>consist</w:t>
      </w:r>
      <w:proofErr w:type="gramEnd"/>
      <w:r w:rsidRPr="00CA0C94">
        <w:rPr>
          <w:rFonts w:ascii="Avenir Next LT Pro" w:hAnsi="Avenir Next LT Pro" w:cs="Times New Roman"/>
        </w:rPr>
        <w:t xml:space="preserve"> of: </w:t>
      </w:r>
    </w:p>
    <w:p w14:paraId="4738578E" w14:textId="77777777" w:rsidR="00F54079" w:rsidRPr="00CA0C94" w:rsidRDefault="00F54079" w:rsidP="00F54079">
      <w:pPr>
        <w:pStyle w:val="ListParagraph"/>
        <w:numPr>
          <w:ilvl w:val="0"/>
          <w:numId w:val="5"/>
        </w:numPr>
        <w:spacing w:after="120"/>
        <w:rPr>
          <w:rFonts w:ascii="Avenir Next LT Pro" w:hAnsi="Avenir Next LT Pro" w:cs="Times New Roman"/>
        </w:rPr>
      </w:pPr>
      <w:r w:rsidRPr="00CA0C94">
        <w:rPr>
          <w:rFonts w:ascii="Avenir Next LT Pro" w:hAnsi="Avenir Next LT Pro" w:cs="Times New Roman"/>
        </w:rPr>
        <w:t xml:space="preserve">Hospitals subject to Public Health Law Article 28; </w:t>
      </w:r>
    </w:p>
    <w:p w14:paraId="5783D094" w14:textId="77777777" w:rsidR="00F54079" w:rsidRPr="00CA0C94" w:rsidRDefault="00F54079" w:rsidP="00F54079">
      <w:pPr>
        <w:pStyle w:val="ListParagraph"/>
        <w:numPr>
          <w:ilvl w:val="0"/>
          <w:numId w:val="5"/>
        </w:numPr>
        <w:spacing w:after="120"/>
        <w:rPr>
          <w:rFonts w:ascii="Avenir Next LT Pro" w:hAnsi="Avenir Next LT Pro" w:cs="Times New Roman"/>
        </w:rPr>
      </w:pPr>
      <w:r w:rsidRPr="00CA0C94">
        <w:rPr>
          <w:rFonts w:ascii="Avenir Next LT Pro" w:hAnsi="Avenir Next LT Pro" w:cs="Times New Roman"/>
        </w:rPr>
        <w:t xml:space="preserve">Clinics (including diagnostic and treatment centers) subject to Public Health Law Article 28; </w:t>
      </w:r>
    </w:p>
    <w:p w14:paraId="76E5B07A" w14:textId="77777777" w:rsidR="00F54079" w:rsidRPr="00CA0C94" w:rsidRDefault="00F54079" w:rsidP="00F54079">
      <w:pPr>
        <w:pStyle w:val="ListParagraph"/>
        <w:numPr>
          <w:ilvl w:val="0"/>
          <w:numId w:val="5"/>
        </w:numPr>
        <w:spacing w:after="120"/>
        <w:rPr>
          <w:rFonts w:ascii="Avenir Next LT Pro" w:hAnsi="Avenir Next LT Pro" w:cs="Times New Roman"/>
        </w:rPr>
      </w:pPr>
      <w:r w:rsidRPr="00CA0C94">
        <w:rPr>
          <w:rFonts w:ascii="Avenir Next LT Pro" w:hAnsi="Avenir Next LT Pro" w:cs="Times New Roman"/>
        </w:rPr>
        <w:t>Home Care Services Agencies subject to Public Health Law Article 36;</w:t>
      </w:r>
    </w:p>
    <w:p w14:paraId="64B03C0B" w14:textId="77777777" w:rsidR="00F54079" w:rsidRPr="00CA0C94" w:rsidRDefault="00F54079" w:rsidP="00F54079">
      <w:pPr>
        <w:pStyle w:val="ListParagraph"/>
        <w:numPr>
          <w:ilvl w:val="0"/>
          <w:numId w:val="5"/>
        </w:numPr>
        <w:spacing w:after="120"/>
        <w:rPr>
          <w:rFonts w:ascii="Avenir Next LT Pro" w:hAnsi="Avenir Next LT Pro" w:cs="Times New Roman"/>
        </w:rPr>
      </w:pPr>
      <w:r w:rsidRPr="00CA0C94">
        <w:rPr>
          <w:rFonts w:ascii="Avenir Next LT Pro" w:hAnsi="Avenir Next LT Pro" w:cs="Times New Roman"/>
        </w:rPr>
        <w:t xml:space="preserve">Hospices subject to Public Health Law Article 40; </w:t>
      </w:r>
    </w:p>
    <w:p w14:paraId="57FC586C" w14:textId="77777777" w:rsidR="00F54079" w:rsidRPr="00CA0C94" w:rsidRDefault="00F54079" w:rsidP="00F54079">
      <w:pPr>
        <w:pStyle w:val="ListParagraph"/>
        <w:numPr>
          <w:ilvl w:val="0"/>
          <w:numId w:val="5"/>
        </w:numPr>
        <w:spacing w:after="120"/>
        <w:rPr>
          <w:rFonts w:ascii="Avenir Next LT Pro" w:hAnsi="Avenir Next LT Pro" w:cs="Times New Roman"/>
        </w:rPr>
      </w:pPr>
      <w:r w:rsidRPr="00CA0C94">
        <w:rPr>
          <w:rFonts w:ascii="Avenir Next LT Pro" w:hAnsi="Avenir Next LT Pro" w:cs="Times New Roman"/>
        </w:rPr>
        <w:t xml:space="preserve">HMOs subject to Public Health Law Article 44; and </w:t>
      </w:r>
    </w:p>
    <w:p w14:paraId="06D90CB1" w14:textId="77777777" w:rsidR="00F54079" w:rsidRPr="00CA0C94" w:rsidRDefault="00F54079" w:rsidP="00F54079">
      <w:pPr>
        <w:pStyle w:val="ListParagraph"/>
        <w:numPr>
          <w:ilvl w:val="0"/>
          <w:numId w:val="5"/>
        </w:numPr>
        <w:spacing w:after="120"/>
        <w:rPr>
          <w:rFonts w:ascii="Avenir Next LT Pro" w:hAnsi="Avenir Next LT Pro" w:cs="Times New Roman"/>
        </w:rPr>
      </w:pPr>
      <w:r w:rsidRPr="00CA0C94">
        <w:rPr>
          <w:rFonts w:ascii="Avenir Next LT Pro" w:hAnsi="Avenir Next LT Pro" w:cs="Times New Roman"/>
        </w:rPr>
        <w:t xml:space="preserve">Shared Health Facilities subject to Public Health Law Article 47.  </w:t>
      </w:r>
    </w:p>
    <w:p w14:paraId="3C9E1B9D" w14:textId="2A367384" w:rsidR="00F016C5" w:rsidRDefault="00F54079" w:rsidP="00F016C5">
      <w:pPr>
        <w:spacing w:after="120"/>
        <w:rPr>
          <w:rFonts w:ascii="Avenir Next LT Pro" w:hAnsi="Avenir Next LT Pro" w:cs="Times New Roman"/>
        </w:rPr>
      </w:pPr>
      <w:r>
        <w:rPr>
          <w:rFonts w:ascii="Avenir Next LT Pro" w:hAnsi="Avenir Next LT Pro" w:cs="Times New Roman"/>
        </w:rPr>
        <w:t>Organizations that are not required to connect to the SHIN-NY – called “Voluntary Participants in the SCPA – must still sign the SCPA if they wish to participate in the SHIN-NY.</w:t>
      </w:r>
    </w:p>
    <w:p w14:paraId="6E09B9AA" w14:textId="77777777" w:rsidR="00F54079" w:rsidRDefault="00F54079" w:rsidP="00F016C5">
      <w:pPr>
        <w:spacing w:after="120"/>
        <w:rPr>
          <w:rFonts w:ascii="Avenir Next LT Pro" w:hAnsi="Avenir Next LT Pro" w:cs="Times New Roman"/>
        </w:rPr>
      </w:pPr>
    </w:p>
    <w:p w14:paraId="5691C0B5" w14:textId="77777777" w:rsidR="00F016C5" w:rsidRPr="00CA0C94" w:rsidRDefault="00F016C5" w:rsidP="00F016C5">
      <w:pPr>
        <w:pStyle w:val="ListParagraph"/>
        <w:numPr>
          <w:ilvl w:val="0"/>
          <w:numId w:val="6"/>
        </w:numPr>
        <w:spacing w:after="120"/>
        <w:rPr>
          <w:rFonts w:ascii="Avenir Next LT Pro" w:hAnsi="Avenir Next LT Pro" w:cs="Times New Roman"/>
          <w:b/>
          <w:bCs/>
          <w:i/>
          <w:iCs/>
        </w:rPr>
      </w:pPr>
      <w:r w:rsidRPr="00CA0C94">
        <w:rPr>
          <w:rFonts w:ascii="Avenir Next LT Pro" w:hAnsi="Avenir Next LT Pro" w:cs="Times New Roman"/>
          <w:b/>
          <w:bCs/>
          <w:i/>
          <w:iCs/>
        </w:rPr>
        <w:t>Can my organization continue to operate under our existing participation agreement with a</w:t>
      </w:r>
      <w:r>
        <w:rPr>
          <w:rFonts w:ascii="Avenir Next LT Pro" w:hAnsi="Avenir Next LT Pro" w:cs="Times New Roman"/>
          <w:b/>
          <w:bCs/>
          <w:i/>
          <w:iCs/>
        </w:rPr>
        <w:t xml:space="preserve"> QE</w:t>
      </w:r>
      <w:r w:rsidRPr="00CA0C94">
        <w:rPr>
          <w:rFonts w:ascii="Avenir Next LT Pro" w:hAnsi="Avenir Next LT Pro" w:cs="Times New Roman"/>
          <w:b/>
          <w:bCs/>
          <w:i/>
          <w:iCs/>
        </w:rPr>
        <w:t xml:space="preserve"> instead of signing the SCPA?</w:t>
      </w:r>
    </w:p>
    <w:p w14:paraId="5F68B7DE" w14:textId="0B160F51" w:rsidR="001D3AE8" w:rsidRDefault="001D3AE8" w:rsidP="00F016C5">
      <w:pPr>
        <w:spacing w:after="120"/>
        <w:rPr>
          <w:rFonts w:ascii="Avenir Next LT Pro" w:hAnsi="Avenir Next LT Pro" w:cs="Times New Roman"/>
        </w:rPr>
      </w:pPr>
      <w:r>
        <w:rPr>
          <w:rFonts w:ascii="Avenir Next LT Pro" w:hAnsi="Avenir Next LT Pro" w:cs="Times New Roman"/>
        </w:rPr>
        <w:t>Generally, no, although the timeframe for the termination of existing participation agreements will vary for Regulated Participants and Voluntary Participants, as described in FAQ 5.</w:t>
      </w:r>
    </w:p>
    <w:p w14:paraId="724FCC2A" w14:textId="1595475A" w:rsidR="001D3AE8" w:rsidRPr="001D3AE8" w:rsidRDefault="001D3AE8" w:rsidP="001D3AE8">
      <w:pPr>
        <w:spacing w:after="120"/>
        <w:rPr>
          <w:rFonts w:ascii="Avenir Next LT Pro" w:hAnsi="Avenir Next LT Pro" w:cs="Times New Roman"/>
        </w:rPr>
      </w:pPr>
      <w:r w:rsidRPr="001D3AE8">
        <w:rPr>
          <w:rFonts w:ascii="Avenir Next LT Pro" w:hAnsi="Avenir Next LT Pro" w:cs="Times New Roman"/>
        </w:rPr>
        <w:t xml:space="preserve">Prior to their amendment in July 2024, the SHIN-NY Regulations required that QEs maintain participation agreements with their </w:t>
      </w:r>
      <w:r>
        <w:rPr>
          <w:rFonts w:ascii="Avenir Next LT Pro" w:hAnsi="Avenir Next LT Pro" w:cs="Times New Roman"/>
        </w:rPr>
        <w:t>p</w:t>
      </w:r>
      <w:r w:rsidRPr="001D3AE8">
        <w:rPr>
          <w:rFonts w:ascii="Avenir Next LT Pro" w:hAnsi="Avenir Next LT Pro" w:cs="Times New Roman"/>
        </w:rPr>
        <w:t xml:space="preserve">articipants.  The amended SHIN-NY Regulations now require </w:t>
      </w:r>
      <w:r>
        <w:rPr>
          <w:rFonts w:ascii="Avenir Next LT Pro" w:hAnsi="Avenir Next LT Pro" w:cs="Times New Roman"/>
        </w:rPr>
        <w:t>SHIN-NY p</w:t>
      </w:r>
      <w:r w:rsidRPr="001D3AE8">
        <w:rPr>
          <w:rFonts w:ascii="Avenir Next LT Pro" w:hAnsi="Avenir Next LT Pro" w:cs="Times New Roman"/>
        </w:rPr>
        <w:t xml:space="preserve">articipants to sign the SCPA </w:t>
      </w:r>
      <w:proofErr w:type="gramStart"/>
      <w:r w:rsidRPr="001D3AE8">
        <w:rPr>
          <w:rFonts w:ascii="Avenir Next LT Pro" w:hAnsi="Avenir Next LT Pro" w:cs="Times New Roman"/>
        </w:rPr>
        <w:t>in order for</w:t>
      </w:r>
      <w:proofErr w:type="gramEnd"/>
      <w:r w:rsidRPr="001D3AE8">
        <w:rPr>
          <w:rFonts w:ascii="Avenir Next LT Pro" w:hAnsi="Avenir Next LT Pro" w:cs="Times New Roman"/>
        </w:rPr>
        <w:t xml:space="preserve"> them to participate in the SHIN-NY.  The SCPA is intended to be the sole agreement that governs the provision of Required Participant Services to </w:t>
      </w:r>
      <w:r>
        <w:rPr>
          <w:rFonts w:ascii="Avenir Next LT Pro" w:hAnsi="Avenir Next LT Pro" w:cs="Times New Roman"/>
        </w:rPr>
        <w:t xml:space="preserve">SHIN-NY </w:t>
      </w:r>
      <w:r w:rsidRPr="001D3AE8">
        <w:rPr>
          <w:rFonts w:ascii="Avenir Next LT Pro" w:hAnsi="Avenir Next LT Pro" w:cs="Times New Roman"/>
        </w:rPr>
        <w:t xml:space="preserve">Participants.  The SHIN-NY cannot function </w:t>
      </w:r>
      <w:r>
        <w:rPr>
          <w:rFonts w:ascii="Avenir Next LT Pro" w:hAnsi="Avenir Next LT Pro" w:cs="Times New Roman"/>
        </w:rPr>
        <w:t xml:space="preserve">efficiently and effectively </w:t>
      </w:r>
      <w:r w:rsidRPr="001D3AE8">
        <w:rPr>
          <w:rFonts w:ascii="Avenir Next LT Pro" w:hAnsi="Avenir Next LT Pro" w:cs="Times New Roman"/>
        </w:rPr>
        <w:t xml:space="preserve">if the parties have two separate agreements governing the same subject, since that will lead to confusion as to what rules govern the exchange of data, the very problem that the SCPA is seeking to solve.  Moreover, it is commonplace when parties sign an agreement that the agreement replaces prior agreements of the same subject matter. </w:t>
      </w:r>
    </w:p>
    <w:p w14:paraId="7A585D6B" w14:textId="77777777" w:rsidR="001D3AE8" w:rsidRPr="001D3AE8" w:rsidRDefault="001D3AE8" w:rsidP="001D3AE8">
      <w:pPr>
        <w:spacing w:after="120"/>
        <w:rPr>
          <w:rFonts w:ascii="Avenir Next LT Pro" w:hAnsi="Avenir Next LT Pro" w:cs="Times New Roman"/>
        </w:rPr>
      </w:pPr>
      <w:r w:rsidRPr="001D3AE8">
        <w:rPr>
          <w:rFonts w:ascii="Avenir Next LT Pro" w:hAnsi="Avenir Next LT Pro" w:cs="Times New Roman"/>
        </w:rPr>
        <w:t xml:space="preserve">Importantly, the SCPA does not prevent the parties from retaining (or </w:t>
      </w:r>
      <w:proofErr w:type="gramStart"/>
      <w:r w:rsidRPr="001D3AE8">
        <w:rPr>
          <w:rFonts w:ascii="Avenir Next LT Pro" w:hAnsi="Avenir Next LT Pro" w:cs="Times New Roman"/>
        </w:rPr>
        <w:t>entering into</w:t>
      </w:r>
      <w:proofErr w:type="gramEnd"/>
      <w:r w:rsidRPr="001D3AE8">
        <w:rPr>
          <w:rFonts w:ascii="Avenir Next LT Pro" w:hAnsi="Avenir Next LT Pro" w:cs="Times New Roman"/>
        </w:rPr>
        <w:t>) agreements that address a different subject matter, such as agreements that exclusively govern the provision of Value-Added Services (so long as applicable requirements under the SCPA are met).</w:t>
      </w:r>
    </w:p>
    <w:p w14:paraId="5D1B359F" w14:textId="77777777" w:rsidR="001D3AE8" w:rsidRDefault="001D3AE8" w:rsidP="00F016C5">
      <w:pPr>
        <w:spacing w:after="120"/>
        <w:rPr>
          <w:rFonts w:ascii="Avenir Next LT Pro" w:hAnsi="Avenir Next LT Pro" w:cs="Times New Roman"/>
        </w:rPr>
      </w:pPr>
    </w:p>
    <w:p w14:paraId="52D683A6" w14:textId="7CA49820" w:rsidR="001D3AE8" w:rsidRPr="001D3AE8" w:rsidRDefault="001D3AE8" w:rsidP="001D3AE8">
      <w:pPr>
        <w:pStyle w:val="ListParagraph"/>
        <w:numPr>
          <w:ilvl w:val="0"/>
          <w:numId w:val="6"/>
        </w:numPr>
        <w:spacing w:after="120"/>
        <w:rPr>
          <w:rFonts w:ascii="Avenir Next LT Pro" w:hAnsi="Avenir Next LT Pro" w:cs="Times New Roman"/>
          <w:b/>
          <w:bCs/>
          <w:i/>
          <w:iCs/>
        </w:rPr>
      </w:pPr>
      <w:r>
        <w:rPr>
          <w:rFonts w:ascii="Avenir Next LT Pro" w:hAnsi="Avenir Next LT Pro" w:cs="Times New Roman"/>
          <w:b/>
          <w:bCs/>
          <w:i/>
          <w:iCs/>
        </w:rPr>
        <w:t>What is the deadline for signing the SCPA?  When will my organization’s existing participation agreement with its QE terminate?</w:t>
      </w:r>
    </w:p>
    <w:p w14:paraId="309AC3B6" w14:textId="3F91F2C5" w:rsidR="00F016C5" w:rsidRPr="00CA0C94" w:rsidRDefault="00F016C5" w:rsidP="00F016C5">
      <w:pPr>
        <w:spacing w:after="120"/>
        <w:rPr>
          <w:rFonts w:ascii="Avenir Next LT Pro" w:hAnsi="Avenir Next LT Pro" w:cs="Times New Roman"/>
        </w:rPr>
      </w:pPr>
      <w:r>
        <w:rPr>
          <w:rFonts w:ascii="Avenir Next LT Pro" w:hAnsi="Avenir Next LT Pro" w:cs="Times New Roman"/>
        </w:rPr>
        <w:t xml:space="preserve">All </w:t>
      </w:r>
      <w:r w:rsidR="00F54079">
        <w:rPr>
          <w:rFonts w:ascii="Avenir Next LT Pro" w:hAnsi="Avenir Next LT Pro" w:cs="Times New Roman"/>
        </w:rPr>
        <w:t>R</w:t>
      </w:r>
      <w:r>
        <w:rPr>
          <w:rFonts w:ascii="Avenir Next LT Pro" w:hAnsi="Avenir Next LT Pro" w:cs="Times New Roman"/>
        </w:rPr>
        <w:t xml:space="preserve">egulated </w:t>
      </w:r>
      <w:r w:rsidR="00F54079">
        <w:rPr>
          <w:rFonts w:ascii="Avenir Next LT Pro" w:hAnsi="Avenir Next LT Pro" w:cs="Times New Roman"/>
        </w:rPr>
        <w:t>Par</w:t>
      </w:r>
      <w:r>
        <w:rPr>
          <w:rFonts w:ascii="Avenir Next LT Pro" w:hAnsi="Avenir Next LT Pro" w:cs="Times New Roman"/>
        </w:rPr>
        <w:t>t</w:t>
      </w:r>
      <w:r w:rsidR="00F54079">
        <w:rPr>
          <w:rFonts w:ascii="Avenir Next LT Pro" w:hAnsi="Avenir Next LT Pro" w:cs="Times New Roman"/>
        </w:rPr>
        <w:t>icipants</w:t>
      </w:r>
      <w:r>
        <w:rPr>
          <w:rFonts w:ascii="Avenir Next LT Pro" w:hAnsi="Avenir Next LT Pro" w:cs="Times New Roman"/>
        </w:rPr>
        <w:t xml:space="preserve"> must sign </w:t>
      </w:r>
      <w:r w:rsidRPr="00CA0C94">
        <w:rPr>
          <w:rFonts w:ascii="Avenir Next LT Pro" w:hAnsi="Avenir Next LT Pro" w:cs="Times New Roman"/>
        </w:rPr>
        <w:t xml:space="preserve">the new SCPA </w:t>
      </w:r>
      <w:r>
        <w:rPr>
          <w:rFonts w:ascii="Avenir Next LT Pro" w:hAnsi="Avenir Next LT Pro" w:cs="Times New Roman"/>
        </w:rPr>
        <w:t>on or before September 30, 2025</w:t>
      </w:r>
      <w:r w:rsidRPr="00CA0C94">
        <w:rPr>
          <w:rFonts w:ascii="Avenir Next LT Pro" w:hAnsi="Avenir Next LT Pro" w:cs="Times New Roman"/>
        </w:rPr>
        <w:t xml:space="preserve">.  On </w:t>
      </w:r>
      <w:r>
        <w:rPr>
          <w:rFonts w:ascii="Avenir Next LT Pro" w:hAnsi="Avenir Next LT Pro" w:cs="Times New Roman"/>
        </w:rPr>
        <w:t>October</w:t>
      </w:r>
      <w:r w:rsidRPr="00CA0C94">
        <w:rPr>
          <w:rFonts w:ascii="Avenir Next LT Pro" w:hAnsi="Avenir Next LT Pro" w:cs="Times New Roman"/>
        </w:rPr>
        <w:t xml:space="preserve"> 1, 2025, the SCPA will go into effect </w:t>
      </w:r>
      <w:r w:rsidR="00F54079">
        <w:rPr>
          <w:rFonts w:ascii="Avenir Next LT Pro" w:hAnsi="Avenir Next LT Pro" w:cs="Times New Roman"/>
        </w:rPr>
        <w:t xml:space="preserve">for Regulated Participants, </w:t>
      </w:r>
      <w:r w:rsidRPr="00CA0C94">
        <w:rPr>
          <w:rFonts w:ascii="Avenir Next LT Pro" w:hAnsi="Avenir Next LT Pro" w:cs="Times New Roman"/>
        </w:rPr>
        <w:t xml:space="preserve">and </w:t>
      </w:r>
      <w:r w:rsidR="00F54079">
        <w:rPr>
          <w:rFonts w:ascii="Avenir Next LT Pro" w:hAnsi="Avenir Next LT Pro" w:cs="Times New Roman"/>
        </w:rPr>
        <w:t xml:space="preserve">their </w:t>
      </w:r>
      <w:r w:rsidRPr="00CA0C94">
        <w:rPr>
          <w:rFonts w:ascii="Avenir Next LT Pro" w:hAnsi="Avenir Next LT Pro" w:cs="Times New Roman"/>
        </w:rPr>
        <w:t>existing participation agreements will terminate.</w:t>
      </w:r>
    </w:p>
    <w:p w14:paraId="7475A7B7" w14:textId="3F849ADE" w:rsidR="00F54079" w:rsidRDefault="00F016C5" w:rsidP="00F54079">
      <w:pPr>
        <w:spacing w:after="120"/>
        <w:rPr>
          <w:rFonts w:ascii="Avenir Next LT Pro" w:hAnsi="Avenir Next LT Pro" w:cs="Times New Roman"/>
        </w:rPr>
      </w:pPr>
      <w:r>
        <w:rPr>
          <w:rFonts w:ascii="Avenir Next LT Pro" w:hAnsi="Avenir Next LT Pro" w:cs="Times New Roman"/>
        </w:rPr>
        <w:t>Volunt</w:t>
      </w:r>
      <w:r w:rsidR="00F54079">
        <w:rPr>
          <w:rFonts w:ascii="Avenir Next LT Pro" w:hAnsi="Avenir Next LT Pro" w:cs="Times New Roman"/>
        </w:rPr>
        <w:t xml:space="preserve">ary Participants </w:t>
      </w:r>
      <w:r w:rsidR="00EE1479" w:rsidRPr="00F54079">
        <w:rPr>
          <w:rFonts w:ascii="Avenir Next LT Pro" w:hAnsi="Avenir Next LT Pro" w:cs="Times New Roman"/>
        </w:rPr>
        <w:t xml:space="preserve">will have an extended timeline in which to </w:t>
      </w:r>
      <w:r w:rsidR="005B55DB" w:rsidRPr="00F54079">
        <w:rPr>
          <w:rFonts w:ascii="Avenir Next LT Pro" w:hAnsi="Avenir Next LT Pro" w:cs="Times New Roman"/>
        </w:rPr>
        <w:t xml:space="preserve">transition to the </w:t>
      </w:r>
      <w:r w:rsidR="00EE1479" w:rsidRPr="00F54079">
        <w:rPr>
          <w:rFonts w:ascii="Avenir Next LT Pro" w:hAnsi="Avenir Next LT Pro" w:cs="Times New Roman"/>
        </w:rPr>
        <w:t>SCPA.</w:t>
      </w:r>
      <w:r w:rsidR="005B55DB" w:rsidRPr="00F54079">
        <w:rPr>
          <w:rFonts w:ascii="Avenir Next LT Pro" w:hAnsi="Avenir Next LT Pro" w:cs="Times New Roman"/>
        </w:rPr>
        <w:t xml:space="preserve"> </w:t>
      </w:r>
      <w:r w:rsidR="00F54079">
        <w:rPr>
          <w:rFonts w:ascii="Avenir Next LT Pro" w:hAnsi="Avenir Next LT Pro" w:cs="Times New Roman"/>
        </w:rPr>
        <w:t xml:space="preserve">During this transition, Voluntary Participants may continue to participate in the SHIN-NY under </w:t>
      </w:r>
      <w:r w:rsidR="00F54079">
        <w:rPr>
          <w:rFonts w:ascii="Avenir Next LT Pro" w:hAnsi="Avenir Next LT Pro" w:cs="Times New Roman"/>
        </w:rPr>
        <w:lastRenderedPageBreak/>
        <w:t>the terms of their existing participation agreements with QEs.  In this case, data contributions to the Statewide Data Infrastructure (SDI) and the use of such data for approved purposes will continue under the Data Use and Contribution Agreement between each QE and NYeC.</w:t>
      </w:r>
    </w:p>
    <w:p w14:paraId="58EC9A7B" w14:textId="532C0C0B" w:rsidR="000A33F1" w:rsidRDefault="001D3AE8" w:rsidP="00613F3F">
      <w:pPr>
        <w:spacing w:after="120"/>
        <w:rPr>
          <w:rFonts w:ascii="Avenir Next LT Pro" w:hAnsi="Avenir Next LT Pro" w:cs="Times New Roman"/>
        </w:rPr>
      </w:pPr>
      <w:r>
        <w:rPr>
          <w:rFonts w:ascii="Avenir Next LT Pro" w:hAnsi="Avenir Next LT Pro" w:cs="Times New Roman"/>
        </w:rPr>
        <w:t xml:space="preserve">Alternatively, some </w:t>
      </w:r>
      <w:r w:rsidR="005B55DB" w:rsidRPr="00F54079">
        <w:rPr>
          <w:rFonts w:ascii="Avenir Next LT Pro" w:hAnsi="Avenir Next LT Pro" w:cs="Times New Roman"/>
        </w:rPr>
        <w:t xml:space="preserve">QEs </w:t>
      </w:r>
      <w:r w:rsidR="00F54079">
        <w:rPr>
          <w:rFonts w:ascii="Avenir Next LT Pro" w:hAnsi="Avenir Next LT Pro" w:cs="Times New Roman"/>
        </w:rPr>
        <w:t xml:space="preserve">may </w:t>
      </w:r>
      <w:r w:rsidR="005B55DB" w:rsidRPr="00F54079">
        <w:rPr>
          <w:rFonts w:ascii="Avenir Next LT Pro" w:hAnsi="Avenir Next LT Pro" w:cs="Times New Roman"/>
        </w:rPr>
        <w:t xml:space="preserve">make a “bridge agreement” available </w:t>
      </w:r>
      <w:r w:rsidR="00613F3F">
        <w:rPr>
          <w:rFonts w:ascii="Avenir Next LT Pro" w:hAnsi="Avenir Next LT Pro" w:cs="Times New Roman"/>
        </w:rPr>
        <w:t xml:space="preserve">only </w:t>
      </w:r>
      <w:r w:rsidR="005B55DB" w:rsidRPr="00F54079">
        <w:rPr>
          <w:rFonts w:ascii="Avenir Next LT Pro" w:hAnsi="Avenir Next LT Pro" w:cs="Times New Roman"/>
        </w:rPr>
        <w:t>to</w:t>
      </w:r>
      <w:r w:rsidR="00F54079">
        <w:rPr>
          <w:rFonts w:ascii="Avenir Next LT Pro" w:hAnsi="Avenir Next LT Pro" w:cs="Times New Roman"/>
        </w:rPr>
        <w:t xml:space="preserve"> V</w:t>
      </w:r>
      <w:r w:rsidR="005B55DB" w:rsidRPr="00F54079">
        <w:rPr>
          <w:rFonts w:ascii="Avenir Next LT Pro" w:hAnsi="Avenir Next LT Pro" w:cs="Times New Roman"/>
        </w:rPr>
        <w:t xml:space="preserve">oluntary </w:t>
      </w:r>
      <w:r w:rsidR="00F54079">
        <w:rPr>
          <w:rFonts w:ascii="Avenir Next LT Pro" w:hAnsi="Avenir Next LT Pro" w:cs="Times New Roman"/>
        </w:rPr>
        <w:t>P</w:t>
      </w:r>
      <w:r w:rsidR="005B55DB" w:rsidRPr="00F54079">
        <w:rPr>
          <w:rFonts w:ascii="Avenir Next LT Pro" w:hAnsi="Avenir Next LT Pro" w:cs="Times New Roman"/>
        </w:rPr>
        <w:t xml:space="preserve">articipants to enable them to participate in and contribute data to the SHIN-NY on the same terms and conditions </w:t>
      </w:r>
      <w:r>
        <w:rPr>
          <w:rFonts w:ascii="Avenir Next LT Pro" w:hAnsi="Avenir Next LT Pro" w:cs="Times New Roman"/>
        </w:rPr>
        <w:t xml:space="preserve">as the SCPA, while giving them additional time to execute the SCPA.  </w:t>
      </w:r>
    </w:p>
    <w:p w14:paraId="0727174F" w14:textId="77777777" w:rsidR="006447B8" w:rsidRPr="00C63F17" w:rsidRDefault="006447B8" w:rsidP="00613F3F">
      <w:pPr>
        <w:spacing w:after="120"/>
        <w:rPr>
          <w:rFonts w:ascii="Avenir Next LT Pro" w:hAnsi="Avenir Next LT Pro" w:cs="Times New Roman"/>
          <w:b/>
          <w:bCs/>
          <w:u w:val="single"/>
        </w:rPr>
      </w:pPr>
    </w:p>
    <w:p w14:paraId="395C8A13" w14:textId="4A5B7EF1" w:rsidR="006447B8" w:rsidRPr="00C63F17" w:rsidRDefault="006447B8" w:rsidP="00613F3F">
      <w:pPr>
        <w:spacing w:after="120"/>
        <w:rPr>
          <w:rFonts w:ascii="Avenir Next LT Pro" w:hAnsi="Avenir Next LT Pro" w:cs="Times New Roman"/>
          <w:b/>
          <w:bCs/>
          <w:u w:val="single"/>
        </w:rPr>
      </w:pPr>
      <w:r w:rsidRPr="00C63F17">
        <w:rPr>
          <w:rFonts w:ascii="Avenir Next LT Pro" w:hAnsi="Avenir Next LT Pro" w:cs="Times New Roman"/>
          <w:b/>
          <w:bCs/>
          <w:u w:val="single"/>
        </w:rPr>
        <w:t xml:space="preserve">For </w:t>
      </w:r>
      <w:proofErr w:type="spellStart"/>
      <w:r w:rsidRPr="00C63F17">
        <w:rPr>
          <w:rFonts w:ascii="Avenir Next LT Pro" w:hAnsi="Avenir Next LT Pro" w:cs="Times New Roman"/>
          <w:b/>
          <w:bCs/>
          <w:u w:val="single"/>
        </w:rPr>
        <w:t>HeC</w:t>
      </w:r>
      <w:proofErr w:type="spellEnd"/>
      <w:r w:rsidRPr="00C63F17">
        <w:rPr>
          <w:rFonts w:ascii="Avenir Next LT Pro" w:hAnsi="Avenir Next LT Pro" w:cs="Times New Roman"/>
          <w:b/>
          <w:bCs/>
          <w:u w:val="single"/>
        </w:rPr>
        <w:t>/</w:t>
      </w:r>
      <w:proofErr w:type="spellStart"/>
      <w:r w:rsidRPr="00C63F17">
        <w:rPr>
          <w:rFonts w:ascii="Avenir Next LT Pro" w:hAnsi="Avenir Next LT Pro" w:cs="Times New Roman"/>
          <w:b/>
          <w:bCs/>
          <w:u w:val="single"/>
        </w:rPr>
        <w:t>HeL</w:t>
      </w:r>
      <w:proofErr w:type="spellEnd"/>
      <w:r w:rsidRPr="00C63F17">
        <w:rPr>
          <w:rFonts w:ascii="Avenir Next LT Pro" w:hAnsi="Avenir Next LT Pro" w:cs="Times New Roman"/>
          <w:b/>
          <w:bCs/>
          <w:u w:val="single"/>
        </w:rPr>
        <w:t xml:space="preserve"> Voluntaries</w:t>
      </w:r>
    </w:p>
    <w:p w14:paraId="2FD03DFC" w14:textId="2945793D" w:rsidR="006447B8" w:rsidRPr="00173CC2" w:rsidRDefault="006447B8" w:rsidP="006447B8">
      <w:pPr>
        <w:pStyle w:val="ListParagraph"/>
        <w:numPr>
          <w:ilvl w:val="0"/>
          <w:numId w:val="19"/>
        </w:numPr>
        <w:spacing w:after="120"/>
        <w:rPr>
          <w:rFonts w:ascii="Avenir Next LT Pro" w:hAnsi="Avenir Next LT Pro" w:cs="Times New Roman"/>
          <w:b/>
          <w:bCs/>
          <w:i/>
          <w:iCs/>
        </w:rPr>
      </w:pPr>
      <w:r>
        <w:rPr>
          <w:rFonts w:ascii="Avenir Next LT Pro" w:hAnsi="Avenir Next LT Pro" w:cs="Times New Roman"/>
          <w:b/>
          <w:bCs/>
          <w:i/>
          <w:iCs/>
        </w:rPr>
        <w:t xml:space="preserve">I received notice that </w:t>
      </w:r>
      <w:r w:rsidR="00F946A0">
        <w:rPr>
          <w:rFonts w:ascii="Avenir Next LT Pro" w:hAnsi="Avenir Next LT Pro" w:cs="Times New Roman"/>
          <w:b/>
          <w:bCs/>
          <w:i/>
          <w:iCs/>
        </w:rPr>
        <w:t>my QE is amending our existing participation agreement to include key provisions of the SCPA and to automatically designate my QE as my Designated HIN.  Is there anything I need to do</w:t>
      </w:r>
      <w:r w:rsidR="00173CC2">
        <w:rPr>
          <w:rFonts w:ascii="Avenir Next LT Pro" w:hAnsi="Avenir Next LT Pro" w:cs="Times New Roman"/>
          <w:b/>
          <w:bCs/>
          <w:i/>
          <w:iCs/>
        </w:rPr>
        <w:t xml:space="preserve"> to continue to participate in the SHIN-NY?</w:t>
      </w:r>
    </w:p>
    <w:p w14:paraId="40F53C8B" w14:textId="2D70E75E" w:rsidR="008D468D" w:rsidRDefault="00173CC2" w:rsidP="00173CC2">
      <w:pPr>
        <w:spacing w:after="120"/>
        <w:rPr>
          <w:rFonts w:ascii="Avenir Next LT Pro" w:hAnsi="Avenir Next LT Pro" w:cs="Times New Roman"/>
        </w:rPr>
      </w:pPr>
      <w:r>
        <w:rPr>
          <w:rFonts w:ascii="Avenir Next LT Pro" w:hAnsi="Avenir Next LT Pro" w:cs="Times New Roman"/>
        </w:rPr>
        <w:t xml:space="preserve">To help </w:t>
      </w:r>
      <w:r w:rsidR="00643F1C">
        <w:rPr>
          <w:rFonts w:ascii="Avenir Next LT Pro" w:hAnsi="Avenir Next LT Pro" w:cs="Times New Roman"/>
        </w:rPr>
        <w:t>Voluntary Participants transition to the SCPA, s</w:t>
      </w:r>
      <w:r>
        <w:rPr>
          <w:rFonts w:ascii="Avenir Next LT Pro" w:hAnsi="Avenir Next LT Pro" w:cs="Times New Roman"/>
        </w:rPr>
        <w:t xml:space="preserve">ome </w:t>
      </w:r>
      <w:r w:rsidRPr="00F54079">
        <w:rPr>
          <w:rFonts w:ascii="Avenir Next LT Pro" w:hAnsi="Avenir Next LT Pro" w:cs="Times New Roman"/>
        </w:rPr>
        <w:t xml:space="preserve">QEs </w:t>
      </w:r>
      <w:r w:rsidR="00B20B48">
        <w:rPr>
          <w:rFonts w:ascii="Avenir Next LT Pro" w:hAnsi="Avenir Next LT Pro" w:cs="Times New Roman"/>
        </w:rPr>
        <w:t>will make</w:t>
      </w:r>
      <w:r w:rsidR="00643F1C">
        <w:rPr>
          <w:rFonts w:ascii="Avenir Next LT Pro" w:hAnsi="Avenir Next LT Pro" w:cs="Times New Roman"/>
        </w:rPr>
        <w:t xml:space="preserve"> </w:t>
      </w:r>
      <w:r w:rsidRPr="00F54079">
        <w:rPr>
          <w:rFonts w:ascii="Avenir Next LT Pro" w:hAnsi="Avenir Next LT Pro" w:cs="Times New Roman"/>
        </w:rPr>
        <w:t>a “bridge agreement” available to</w:t>
      </w:r>
      <w:r>
        <w:rPr>
          <w:rFonts w:ascii="Avenir Next LT Pro" w:hAnsi="Avenir Next LT Pro" w:cs="Times New Roman"/>
        </w:rPr>
        <w:t xml:space="preserve"> V</w:t>
      </w:r>
      <w:r w:rsidRPr="00F54079">
        <w:rPr>
          <w:rFonts w:ascii="Avenir Next LT Pro" w:hAnsi="Avenir Next LT Pro" w:cs="Times New Roman"/>
        </w:rPr>
        <w:t xml:space="preserve">oluntary </w:t>
      </w:r>
      <w:r>
        <w:rPr>
          <w:rFonts w:ascii="Avenir Next LT Pro" w:hAnsi="Avenir Next LT Pro" w:cs="Times New Roman"/>
        </w:rPr>
        <w:t>P</w:t>
      </w:r>
      <w:r w:rsidRPr="00F54079">
        <w:rPr>
          <w:rFonts w:ascii="Avenir Next LT Pro" w:hAnsi="Avenir Next LT Pro" w:cs="Times New Roman"/>
        </w:rPr>
        <w:t xml:space="preserve">articipants to enable them to participate in and contribute data to the SHIN-NY on the same terms and conditions </w:t>
      </w:r>
      <w:r>
        <w:rPr>
          <w:rFonts w:ascii="Avenir Next LT Pro" w:hAnsi="Avenir Next LT Pro" w:cs="Times New Roman"/>
        </w:rPr>
        <w:t>as the SCPA, while giving them additional time to execute the SCPA</w:t>
      </w:r>
      <w:r w:rsidR="00643F1C">
        <w:rPr>
          <w:rFonts w:ascii="Avenir Next LT Pro" w:hAnsi="Avenir Next LT Pro" w:cs="Times New Roman"/>
        </w:rPr>
        <w:t>.</w:t>
      </w:r>
      <w:r w:rsidR="00833A20">
        <w:rPr>
          <w:rFonts w:ascii="Avenir Next LT Pro" w:hAnsi="Avenir Next LT Pro" w:cs="Times New Roman"/>
        </w:rPr>
        <w:t xml:space="preserve">  This</w:t>
      </w:r>
      <w:r w:rsidR="00370276">
        <w:rPr>
          <w:rFonts w:ascii="Avenir Next LT Pro" w:hAnsi="Avenir Next LT Pro" w:cs="Times New Roman"/>
        </w:rPr>
        <w:t xml:space="preserve"> bridge agreement </w:t>
      </w:r>
      <w:r w:rsidR="00B20B48">
        <w:rPr>
          <w:rFonts w:ascii="Avenir Next LT Pro" w:hAnsi="Avenir Next LT Pro" w:cs="Times New Roman"/>
        </w:rPr>
        <w:t>will be</w:t>
      </w:r>
      <w:r w:rsidR="00370276">
        <w:rPr>
          <w:rFonts w:ascii="Avenir Next LT Pro" w:hAnsi="Avenir Next LT Pro" w:cs="Times New Roman"/>
        </w:rPr>
        <w:t xml:space="preserve"> available to Voluntary Participants only; Regulated Participants must execute the SCPA on or before September 30, 2025.</w:t>
      </w:r>
    </w:p>
    <w:p w14:paraId="2BB0DA6D" w14:textId="6D0FEBA5" w:rsidR="00173CC2" w:rsidRDefault="00370276" w:rsidP="00173CC2">
      <w:pPr>
        <w:spacing w:after="120"/>
        <w:rPr>
          <w:rFonts w:ascii="Avenir Next LT Pro" w:hAnsi="Avenir Next LT Pro" w:cs="Times New Roman"/>
        </w:rPr>
      </w:pPr>
      <w:r>
        <w:rPr>
          <w:rFonts w:ascii="Avenir Next LT Pro" w:hAnsi="Avenir Next LT Pro" w:cs="Times New Roman"/>
        </w:rPr>
        <w:t xml:space="preserve">Where made available by a QE, a </w:t>
      </w:r>
      <w:r w:rsidR="00013173">
        <w:rPr>
          <w:rFonts w:ascii="Avenir Next LT Pro" w:hAnsi="Avenir Next LT Pro" w:cs="Times New Roman"/>
        </w:rPr>
        <w:t xml:space="preserve">bridge agreement will take effect </w:t>
      </w:r>
      <w:r w:rsidR="00264241">
        <w:rPr>
          <w:rFonts w:ascii="Avenir Next LT Pro" w:hAnsi="Avenir Next LT Pro" w:cs="Times New Roman"/>
        </w:rPr>
        <w:t xml:space="preserve">automatically </w:t>
      </w:r>
      <w:r w:rsidR="000628F0">
        <w:rPr>
          <w:rFonts w:ascii="Avenir Next LT Pro" w:hAnsi="Avenir Next LT Pro" w:cs="Times New Roman"/>
        </w:rPr>
        <w:t xml:space="preserve">for Voluntary Participants </w:t>
      </w:r>
      <w:r w:rsidR="00264241">
        <w:rPr>
          <w:rFonts w:ascii="Avenir Next LT Pro" w:hAnsi="Avenir Next LT Pro" w:cs="Times New Roman"/>
        </w:rPr>
        <w:t xml:space="preserve">as an amendment to the QE’s </w:t>
      </w:r>
      <w:r w:rsidR="00C73086">
        <w:rPr>
          <w:rFonts w:ascii="Avenir Next LT Pro" w:hAnsi="Avenir Next LT Pro" w:cs="Times New Roman"/>
        </w:rPr>
        <w:t xml:space="preserve">existing </w:t>
      </w:r>
      <w:r w:rsidR="00264241">
        <w:rPr>
          <w:rFonts w:ascii="Avenir Next LT Pro" w:hAnsi="Avenir Next LT Pro" w:cs="Times New Roman"/>
        </w:rPr>
        <w:t xml:space="preserve">participation agreement </w:t>
      </w:r>
      <w:r w:rsidR="00013173">
        <w:rPr>
          <w:rFonts w:ascii="Avenir Next LT Pro" w:hAnsi="Avenir Next LT Pro" w:cs="Times New Roman"/>
        </w:rPr>
        <w:t>a</w:t>
      </w:r>
      <w:r w:rsidR="00264241">
        <w:rPr>
          <w:rFonts w:ascii="Avenir Next LT Pro" w:hAnsi="Avenir Next LT Pro" w:cs="Times New Roman"/>
        </w:rPr>
        <w:t xml:space="preserve">t the expiration of </w:t>
      </w:r>
      <w:r w:rsidR="00013173">
        <w:rPr>
          <w:rFonts w:ascii="Avenir Next LT Pro" w:hAnsi="Avenir Next LT Pro" w:cs="Times New Roman"/>
        </w:rPr>
        <w:t>the QE’s notice period</w:t>
      </w:r>
      <w:r w:rsidR="001D6132">
        <w:rPr>
          <w:rFonts w:ascii="Avenir Next LT Pro" w:hAnsi="Avenir Next LT Pro" w:cs="Times New Roman"/>
        </w:rPr>
        <w:t xml:space="preserve">.  </w:t>
      </w:r>
      <w:r w:rsidR="008014D9">
        <w:rPr>
          <w:rFonts w:ascii="Avenir Next LT Pro" w:hAnsi="Avenir Next LT Pro" w:cs="Times New Roman"/>
        </w:rPr>
        <w:t xml:space="preserve">If the </w:t>
      </w:r>
      <w:r w:rsidR="000628F0">
        <w:rPr>
          <w:rFonts w:ascii="Avenir Next LT Pro" w:hAnsi="Avenir Next LT Pro" w:cs="Times New Roman"/>
        </w:rPr>
        <w:t>Voluntary P</w:t>
      </w:r>
      <w:r w:rsidR="008014D9">
        <w:rPr>
          <w:rFonts w:ascii="Avenir Next LT Pro" w:hAnsi="Avenir Next LT Pro" w:cs="Times New Roman"/>
        </w:rPr>
        <w:t xml:space="preserve">articipant </w:t>
      </w:r>
      <w:r w:rsidR="001D6132">
        <w:rPr>
          <w:rFonts w:ascii="Avenir Next LT Pro" w:hAnsi="Avenir Next LT Pro" w:cs="Times New Roman"/>
        </w:rPr>
        <w:t xml:space="preserve">does not object to the amendment and </w:t>
      </w:r>
      <w:r w:rsidR="008014D9">
        <w:rPr>
          <w:rFonts w:ascii="Avenir Next LT Pro" w:hAnsi="Avenir Next LT Pro" w:cs="Times New Roman"/>
        </w:rPr>
        <w:t xml:space="preserve">wishes to continue participating in the SHIN-NY with that QE, the </w:t>
      </w:r>
      <w:r w:rsidR="000628F0">
        <w:rPr>
          <w:rFonts w:ascii="Avenir Next LT Pro" w:hAnsi="Avenir Next LT Pro" w:cs="Times New Roman"/>
        </w:rPr>
        <w:t>Voluntary P</w:t>
      </w:r>
      <w:r w:rsidR="008014D9">
        <w:rPr>
          <w:rFonts w:ascii="Avenir Next LT Pro" w:hAnsi="Avenir Next LT Pro" w:cs="Times New Roman"/>
        </w:rPr>
        <w:t>articipant need not take any action</w:t>
      </w:r>
      <w:r w:rsidR="008D468D">
        <w:rPr>
          <w:rFonts w:ascii="Avenir Next LT Pro" w:hAnsi="Avenir Next LT Pro" w:cs="Times New Roman"/>
        </w:rPr>
        <w:t xml:space="preserve"> and that QE will </w:t>
      </w:r>
      <w:r w:rsidR="001D6132">
        <w:rPr>
          <w:rFonts w:ascii="Avenir Next LT Pro" w:hAnsi="Avenir Next LT Pro" w:cs="Times New Roman"/>
        </w:rPr>
        <w:t xml:space="preserve">automatically </w:t>
      </w:r>
      <w:r w:rsidR="008D468D">
        <w:rPr>
          <w:rFonts w:ascii="Avenir Next LT Pro" w:hAnsi="Avenir Next LT Pro" w:cs="Times New Roman"/>
        </w:rPr>
        <w:t>become their Designated HIN.</w:t>
      </w:r>
    </w:p>
    <w:p w14:paraId="1951A5FA" w14:textId="04F33A7E" w:rsidR="008D468D" w:rsidRPr="008D468D" w:rsidRDefault="008D468D" w:rsidP="00173CC2">
      <w:pPr>
        <w:spacing w:after="120"/>
        <w:rPr>
          <w:rFonts w:ascii="Avenir Next LT Pro" w:hAnsi="Avenir Next LT Pro" w:cs="Times New Roman"/>
        </w:rPr>
      </w:pPr>
      <w:r>
        <w:rPr>
          <w:rFonts w:ascii="Avenir Next LT Pro" w:hAnsi="Avenir Next LT Pro" w:cs="Times New Roman"/>
        </w:rPr>
        <w:t xml:space="preserve">However, if the </w:t>
      </w:r>
      <w:r w:rsidR="000628F0">
        <w:rPr>
          <w:rFonts w:ascii="Avenir Next LT Pro" w:hAnsi="Avenir Next LT Pro" w:cs="Times New Roman"/>
        </w:rPr>
        <w:t>Voluntary P</w:t>
      </w:r>
      <w:r>
        <w:rPr>
          <w:rFonts w:ascii="Avenir Next LT Pro" w:hAnsi="Avenir Next LT Pro" w:cs="Times New Roman"/>
        </w:rPr>
        <w:t xml:space="preserve">articipant wishes to </w:t>
      </w:r>
      <w:r w:rsidR="0049282F">
        <w:rPr>
          <w:rFonts w:ascii="Avenir Next LT Pro" w:hAnsi="Avenir Next LT Pro" w:cs="Times New Roman"/>
        </w:rPr>
        <w:t>select a different QE as its Designated HIN</w:t>
      </w:r>
      <w:r w:rsidR="002F2CEF">
        <w:rPr>
          <w:rFonts w:ascii="Avenir Next LT Pro" w:hAnsi="Avenir Next LT Pro" w:cs="Times New Roman"/>
        </w:rPr>
        <w:t>,</w:t>
      </w:r>
      <w:r w:rsidR="0049282F">
        <w:rPr>
          <w:rFonts w:ascii="Avenir Next LT Pro" w:hAnsi="Avenir Next LT Pro" w:cs="Times New Roman"/>
        </w:rPr>
        <w:t xml:space="preserve"> </w:t>
      </w:r>
      <w:r w:rsidR="002F2CEF">
        <w:rPr>
          <w:rFonts w:ascii="Avenir Next LT Pro" w:hAnsi="Avenir Next LT Pro" w:cs="Times New Roman"/>
        </w:rPr>
        <w:t xml:space="preserve">the </w:t>
      </w:r>
      <w:r w:rsidR="000628F0">
        <w:rPr>
          <w:rFonts w:ascii="Avenir Next LT Pro" w:hAnsi="Avenir Next LT Pro" w:cs="Times New Roman"/>
        </w:rPr>
        <w:t>Voluntary P</w:t>
      </w:r>
      <w:r w:rsidR="0049282F">
        <w:rPr>
          <w:rFonts w:ascii="Avenir Next LT Pro" w:hAnsi="Avenir Next LT Pro" w:cs="Times New Roman"/>
        </w:rPr>
        <w:t xml:space="preserve">articipant must then sign the SCPA and complete </w:t>
      </w:r>
      <w:r w:rsidR="00875A1B">
        <w:rPr>
          <w:rFonts w:ascii="Avenir Next LT Pro" w:hAnsi="Avenir Next LT Pro" w:cs="Times New Roman"/>
        </w:rPr>
        <w:t xml:space="preserve">the SCPA </w:t>
      </w:r>
      <w:r w:rsidR="0049282F">
        <w:rPr>
          <w:rFonts w:ascii="Avenir Next LT Pro" w:hAnsi="Avenir Next LT Pro" w:cs="Times New Roman"/>
        </w:rPr>
        <w:t>Election Schedule to make th</w:t>
      </w:r>
      <w:r w:rsidR="002F2CEF">
        <w:rPr>
          <w:rFonts w:ascii="Avenir Next LT Pro" w:hAnsi="Avenir Next LT Pro" w:cs="Times New Roman"/>
        </w:rPr>
        <w:t>at</w:t>
      </w:r>
      <w:r w:rsidR="0049282F">
        <w:rPr>
          <w:rFonts w:ascii="Avenir Next LT Pro" w:hAnsi="Avenir Next LT Pro" w:cs="Times New Roman"/>
        </w:rPr>
        <w:t xml:space="preserve"> designation</w:t>
      </w:r>
      <w:r w:rsidR="002F2CEF">
        <w:rPr>
          <w:rFonts w:ascii="Avenir Next LT Pro" w:hAnsi="Avenir Next LT Pro" w:cs="Times New Roman"/>
        </w:rPr>
        <w:t>, at which time</w:t>
      </w:r>
      <w:r w:rsidR="00875A1B">
        <w:rPr>
          <w:rFonts w:ascii="Avenir Next LT Pro" w:hAnsi="Avenir Next LT Pro" w:cs="Times New Roman"/>
        </w:rPr>
        <w:t xml:space="preserve"> its </w:t>
      </w:r>
      <w:r w:rsidR="002F2CEF">
        <w:rPr>
          <w:rFonts w:ascii="Avenir Next LT Pro" w:hAnsi="Avenir Next LT Pro" w:cs="Times New Roman"/>
        </w:rPr>
        <w:t xml:space="preserve">existing participation agreement with </w:t>
      </w:r>
      <w:r w:rsidR="00875A1B">
        <w:rPr>
          <w:rFonts w:ascii="Avenir Next LT Pro" w:hAnsi="Avenir Next LT Pro" w:cs="Times New Roman"/>
        </w:rPr>
        <w:t>its</w:t>
      </w:r>
      <w:r w:rsidR="002F2CEF">
        <w:rPr>
          <w:rFonts w:ascii="Avenir Next LT Pro" w:hAnsi="Avenir Next LT Pro" w:cs="Times New Roman"/>
        </w:rPr>
        <w:t xml:space="preserve"> </w:t>
      </w:r>
      <w:r w:rsidR="00BA00EA">
        <w:rPr>
          <w:rFonts w:ascii="Avenir Next LT Pro" w:hAnsi="Avenir Next LT Pro" w:cs="Times New Roman"/>
        </w:rPr>
        <w:t xml:space="preserve">existing </w:t>
      </w:r>
      <w:r w:rsidR="002F2CEF">
        <w:rPr>
          <w:rFonts w:ascii="Avenir Next LT Pro" w:hAnsi="Avenir Next LT Pro" w:cs="Times New Roman"/>
        </w:rPr>
        <w:t>QE will terminate</w:t>
      </w:r>
      <w:r w:rsidR="0049282F">
        <w:rPr>
          <w:rFonts w:ascii="Avenir Next LT Pro" w:hAnsi="Avenir Next LT Pro" w:cs="Times New Roman"/>
        </w:rPr>
        <w:t>.</w:t>
      </w:r>
      <w:r w:rsidR="002F2CEF">
        <w:rPr>
          <w:rFonts w:ascii="Avenir Next LT Pro" w:hAnsi="Avenir Next LT Pro" w:cs="Times New Roman"/>
        </w:rPr>
        <w:t xml:space="preserve">  If the Voluntary</w:t>
      </w:r>
      <w:r w:rsidR="00B44864">
        <w:rPr>
          <w:rFonts w:ascii="Avenir Next LT Pro" w:hAnsi="Avenir Next LT Pro" w:cs="Times New Roman"/>
        </w:rPr>
        <w:t xml:space="preserve"> Participant w</w:t>
      </w:r>
      <w:r w:rsidR="00333714">
        <w:rPr>
          <w:rFonts w:ascii="Avenir Next LT Pro" w:hAnsi="Avenir Next LT Pro" w:cs="Times New Roman"/>
        </w:rPr>
        <w:t>ants its existing QE to be its</w:t>
      </w:r>
      <w:r w:rsidR="00BA00EA">
        <w:rPr>
          <w:rFonts w:ascii="Avenir Next LT Pro" w:hAnsi="Avenir Next LT Pro" w:cs="Times New Roman"/>
        </w:rPr>
        <w:t xml:space="preserve"> Designated HIN</w:t>
      </w:r>
      <w:r w:rsidR="00B44864">
        <w:rPr>
          <w:rFonts w:ascii="Avenir Next LT Pro" w:hAnsi="Avenir Next LT Pro" w:cs="Times New Roman"/>
        </w:rPr>
        <w:t>, but wishes to select one or more additional QEs from which it will receive Value-Added and/or Additional Services, the</w:t>
      </w:r>
      <w:r w:rsidR="00653190">
        <w:rPr>
          <w:rFonts w:ascii="Avenir Next LT Pro" w:hAnsi="Avenir Next LT Pro" w:cs="Times New Roman"/>
        </w:rPr>
        <w:t xml:space="preserve"> Voluntary Participant must sign the SCPA and complete the Election Schedule to make those designations, but </w:t>
      </w:r>
      <w:r w:rsidR="0055341A">
        <w:rPr>
          <w:rFonts w:ascii="Avenir Next LT Pro" w:hAnsi="Avenir Next LT Pro" w:cs="Times New Roman"/>
        </w:rPr>
        <w:t xml:space="preserve">it may continue participating in the SHIN-NY with its existing QE as its </w:t>
      </w:r>
      <w:r w:rsidR="00BA00EA">
        <w:rPr>
          <w:rFonts w:ascii="Avenir Next LT Pro" w:hAnsi="Avenir Next LT Pro" w:cs="Times New Roman"/>
        </w:rPr>
        <w:t xml:space="preserve">Designated HIN until the </w:t>
      </w:r>
      <w:r w:rsidR="009C00AA">
        <w:rPr>
          <w:rFonts w:ascii="Avenir Next LT Pro" w:hAnsi="Avenir Next LT Pro" w:cs="Times New Roman"/>
        </w:rPr>
        <w:t>end of the transition period, at which point it must select a QE as its Designated HIN on the SCPA’s Election Schedule.</w:t>
      </w:r>
    </w:p>
    <w:sectPr w:rsidR="008D468D" w:rsidRPr="008D468D" w:rsidSect="005B55D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9F050" w14:textId="77777777" w:rsidR="00F016C5" w:rsidRDefault="00F016C5" w:rsidP="00F016C5">
      <w:pPr>
        <w:spacing w:after="0" w:line="240" w:lineRule="auto"/>
      </w:pPr>
      <w:r>
        <w:separator/>
      </w:r>
    </w:p>
  </w:endnote>
  <w:endnote w:type="continuationSeparator" w:id="0">
    <w:p w14:paraId="13E85BE3" w14:textId="77777777" w:rsidR="00F016C5" w:rsidRDefault="00F016C5" w:rsidP="00F01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1FA7B" w14:textId="77777777" w:rsidR="00613F3F" w:rsidRDefault="00613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6DE5A" w14:textId="77777777" w:rsidR="00613F3F" w:rsidRDefault="00C63F17">
    <w:pPr>
      <w:pStyle w:val="Footer"/>
      <w:jc w:val="center"/>
      <w:rPr>
        <w:rFonts w:ascii="Times New Roman" w:hAnsi="Times New Roman" w:cs="Times New Roman"/>
        <w:noProof/>
        <w:sz w:val="24"/>
        <w:szCs w:val="24"/>
      </w:rPr>
    </w:pPr>
    <w:sdt>
      <w:sdtPr>
        <w:id w:val="-1905364937"/>
        <w:docPartObj>
          <w:docPartGallery w:val="Page Numbers (Bottom of Page)"/>
          <w:docPartUnique/>
        </w:docPartObj>
      </w:sdtPr>
      <w:sdtEndPr>
        <w:rPr>
          <w:rFonts w:ascii="Avenir Next LT Pro" w:hAnsi="Avenir Next LT Pro" w:cs="Times New Roman"/>
          <w:noProof/>
        </w:rPr>
      </w:sdtEndPr>
      <w:sdtContent>
        <w:r w:rsidR="00613F3F" w:rsidRPr="00117703">
          <w:rPr>
            <w:rFonts w:ascii="Avenir Next LT Pro" w:hAnsi="Avenir Next LT Pro" w:cs="Times New Roman"/>
            <w:sz w:val="24"/>
            <w:szCs w:val="24"/>
          </w:rPr>
          <w:fldChar w:fldCharType="begin"/>
        </w:r>
        <w:r w:rsidR="00613F3F" w:rsidRPr="00117703">
          <w:rPr>
            <w:rFonts w:ascii="Avenir Next LT Pro" w:hAnsi="Avenir Next LT Pro" w:cs="Times New Roman"/>
            <w:sz w:val="24"/>
            <w:szCs w:val="24"/>
          </w:rPr>
          <w:instrText xml:space="preserve"> PAGE   \* MERGEFORMAT </w:instrText>
        </w:r>
        <w:r w:rsidR="00613F3F" w:rsidRPr="00117703">
          <w:rPr>
            <w:rFonts w:ascii="Avenir Next LT Pro" w:hAnsi="Avenir Next LT Pro" w:cs="Times New Roman"/>
            <w:sz w:val="24"/>
            <w:szCs w:val="24"/>
          </w:rPr>
          <w:fldChar w:fldCharType="separate"/>
        </w:r>
        <w:r w:rsidR="00613F3F" w:rsidRPr="00117703">
          <w:rPr>
            <w:rFonts w:ascii="Avenir Next LT Pro" w:hAnsi="Avenir Next LT Pro" w:cs="Times New Roman"/>
            <w:noProof/>
            <w:sz w:val="24"/>
            <w:szCs w:val="24"/>
          </w:rPr>
          <w:t>2</w:t>
        </w:r>
        <w:r w:rsidR="00613F3F" w:rsidRPr="00117703">
          <w:rPr>
            <w:rFonts w:ascii="Avenir Next LT Pro" w:hAnsi="Avenir Next LT Pro" w:cs="Times New Roman"/>
            <w:noProof/>
            <w:sz w:val="24"/>
            <w:szCs w:val="24"/>
          </w:rPr>
          <w:fldChar w:fldCharType="end"/>
        </w:r>
      </w:sdtContent>
    </w:sdt>
  </w:p>
  <w:p w14:paraId="417D12CA" w14:textId="77777777" w:rsidR="00613F3F" w:rsidRDefault="00613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1400837"/>
      <w:docPartObj>
        <w:docPartGallery w:val="Page Numbers (Bottom of Page)"/>
        <w:docPartUnique/>
      </w:docPartObj>
    </w:sdtPr>
    <w:sdtEndPr>
      <w:rPr>
        <w:noProof/>
      </w:rPr>
    </w:sdtEndPr>
    <w:sdtContent>
      <w:p w14:paraId="3F3935E1" w14:textId="77777777" w:rsidR="00613F3F" w:rsidRDefault="00613F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D4CED6" w14:textId="77777777" w:rsidR="00613F3F" w:rsidRDefault="00613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CC94A" w14:textId="77777777" w:rsidR="00F016C5" w:rsidRDefault="00F016C5" w:rsidP="00F016C5">
      <w:pPr>
        <w:spacing w:after="0" w:line="240" w:lineRule="auto"/>
      </w:pPr>
      <w:r>
        <w:separator/>
      </w:r>
    </w:p>
  </w:footnote>
  <w:footnote w:type="continuationSeparator" w:id="0">
    <w:p w14:paraId="7AF79B87" w14:textId="77777777" w:rsidR="00F016C5" w:rsidRDefault="00F016C5" w:rsidP="00F01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2A578" w14:textId="77777777" w:rsidR="00613F3F" w:rsidRDefault="00613F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6298283"/>
      <w:docPartObj>
        <w:docPartGallery w:val="Watermarks"/>
        <w:docPartUnique/>
      </w:docPartObj>
    </w:sdtPr>
    <w:sdtEndPr/>
    <w:sdtContent>
      <w:p w14:paraId="4D2643C4" w14:textId="522997AC" w:rsidR="00613F3F" w:rsidRDefault="00C63F17">
        <w:pPr>
          <w:pStyle w:val="Header"/>
        </w:pPr>
        <w:r>
          <w:rPr>
            <w:noProof/>
          </w:rPr>
          <w:pict w14:anchorId="40D281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FD2F8" w14:textId="77777777" w:rsidR="00613F3F" w:rsidRDefault="00613F3F">
    <w:pPr>
      <w:pStyle w:val="Header"/>
    </w:pPr>
    <w:r w:rsidRPr="005F460F">
      <w:rPr>
        <w:rFonts w:ascii="Avenir Next LT Pro" w:hAnsi="Avenir Next LT Pro" w:cs="Calibri"/>
        <w:b/>
        <w:bCs/>
        <w:noProof/>
      </w:rPr>
      <w:drawing>
        <wp:anchor distT="0" distB="0" distL="114300" distR="114300" simplePos="0" relativeHeight="251657216" behindDoc="0" locked="0" layoutInCell="1" allowOverlap="1" wp14:anchorId="2310788C" wp14:editId="49ED4E5A">
          <wp:simplePos x="0" y="0"/>
          <wp:positionH relativeFrom="margin">
            <wp:posOffset>-57150</wp:posOffset>
          </wp:positionH>
          <wp:positionV relativeFrom="paragraph">
            <wp:posOffset>-171450</wp:posOffset>
          </wp:positionV>
          <wp:extent cx="1076325" cy="618514"/>
          <wp:effectExtent l="0" t="0" r="0" b="0"/>
          <wp:wrapNone/>
          <wp:docPr id="245666397" name="Picture 245666397" descr="A blue circle with white letter e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white letter e in it&#10;&#10;Description automatically generated with low confidence"/>
                  <pic:cNvPicPr/>
                </pic:nvPicPr>
                <pic:blipFill>
                  <a:blip r:embed="rId1"/>
                  <a:stretch>
                    <a:fillRect/>
                  </a:stretch>
                </pic:blipFill>
                <pic:spPr>
                  <a:xfrm>
                    <a:off x="0" y="0"/>
                    <a:ext cx="1076325" cy="6185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1D98"/>
    <w:multiLevelType w:val="hybridMultilevel"/>
    <w:tmpl w:val="2C42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C1ABF"/>
    <w:multiLevelType w:val="hybridMultilevel"/>
    <w:tmpl w:val="6D7CB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20393"/>
    <w:multiLevelType w:val="hybridMultilevel"/>
    <w:tmpl w:val="B972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9534C"/>
    <w:multiLevelType w:val="hybridMultilevel"/>
    <w:tmpl w:val="AB903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D3EC8"/>
    <w:multiLevelType w:val="hybridMultilevel"/>
    <w:tmpl w:val="935C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763B4"/>
    <w:multiLevelType w:val="hybridMultilevel"/>
    <w:tmpl w:val="6F684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D6ED4"/>
    <w:multiLevelType w:val="hybridMultilevel"/>
    <w:tmpl w:val="1E32C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6C2586"/>
    <w:multiLevelType w:val="hybridMultilevel"/>
    <w:tmpl w:val="5AB4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67D1C"/>
    <w:multiLevelType w:val="hybridMultilevel"/>
    <w:tmpl w:val="ED849B66"/>
    <w:lvl w:ilvl="0" w:tplc="04090015">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E934489"/>
    <w:multiLevelType w:val="hybridMultilevel"/>
    <w:tmpl w:val="D776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0D6D2"/>
    <w:multiLevelType w:val="hybridMultilevel"/>
    <w:tmpl w:val="7598B004"/>
    <w:lvl w:ilvl="0" w:tplc="FE6C02FA">
      <w:start w:val="1"/>
      <w:numFmt w:val="bullet"/>
      <w:lvlText w:val="·"/>
      <w:lvlJc w:val="left"/>
      <w:pPr>
        <w:ind w:left="720" w:hanging="360"/>
      </w:pPr>
      <w:rPr>
        <w:rFonts w:ascii="Symbol" w:hAnsi="Symbol" w:hint="default"/>
      </w:rPr>
    </w:lvl>
    <w:lvl w:ilvl="1" w:tplc="74E27826">
      <w:start w:val="1"/>
      <w:numFmt w:val="bullet"/>
      <w:lvlText w:val="o"/>
      <w:lvlJc w:val="left"/>
      <w:pPr>
        <w:ind w:left="1440" w:hanging="360"/>
      </w:pPr>
      <w:rPr>
        <w:rFonts w:ascii="Courier New" w:hAnsi="Courier New" w:hint="default"/>
      </w:rPr>
    </w:lvl>
    <w:lvl w:ilvl="2" w:tplc="D20A6C28">
      <w:start w:val="1"/>
      <w:numFmt w:val="bullet"/>
      <w:lvlText w:val=""/>
      <w:lvlJc w:val="left"/>
      <w:pPr>
        <w:ind w:left="2160" w:hanging="360"/>
      </w:pPr>
      <w:rPr>
        <w:rFonts w:ascii="Wingdings" w:hAnsi="Wingdings" w:hint="default"/>
      </w:rPr>
    </w:lvl>
    <w:lvl w:ilvl="3" w:tplc="A344F304">
      <w:start w:val="1"/>
      <w:numFmt w:val="bullet"/>
      <w:lvlText w:val=""/>
      <w:lvlJc w:val="left"/>
      <w:pPr>
        <w:ind w:left="2880" w:hanging="360"/>
      </w:pPr>
      <w:rPr>
        <w:rFonts w:ascii="Symbol" w:hAnsi="Symbol" w:hint="default"/>
      </w:rPr>
    </w:lvl>
    <w:lvl w:ilvl="4" w:tplc="6E6A57E8">
      <w:start w:val="1"/>
      <w:numFmt w:val="bullet"/>
      <w:lvlText w:val="o"/>
      <w:lvlJc w:val="left"/>
      <w:pPr>
        <w:ind w:left="3600" w:hanging="360"/>
      </w:pPr>
      <w:rPr>
        <w:rFonts w:ascii="Courier New" w:hAnsi="Courier New" w:hint="default"/>
      </w:rPr>
    </w:lvl>
    <w:lvl w:ilvl="5" w:tplc="D26AD1FA">
      <w:start w:val="1"/>
      <w:numFmt w:val="bullet"/>
      <w:lvlText w:val=""/>
      <w:lvlJc w:val="left"/>
      <w:pPr>
        <w:ind w:left="4320" w:hanging="360"/>
      </w:pPr>
      <w:rPr>
        <w:rFonts w:ascii="Wingdings" w:hAnsi="Wingdings" w:hint="default"/>
      </w:rPr>
    </w:lvl>
    <w:lvl w:ilvl="6" w:tplc="20B8A3CE">
      <w:start w:val="1"/>
      <w:numFmt w:val="bullet"/>
      <w:lvlText w:val=""/>
      <w:lvlJc w:val="left"/>
      <w:pPr>
        <w:ind w:left="5040" w:hanging="360"/>
      </w:pPr>
      <w:rPr>
        <w:rFonts w:ascii="Symbol" w:hAnsi="Symbol" w:hint="default"/>
      </w:rPr>
    </w:lvl>
    <w:lvl w:ilvl="7" w:tplc="8C6A68BA">
      <w:start w:val="1"/>
      <w:numFmt w:val="bullet"/>
      <w:lvlText w:val="o"/>
      <w:lvlJc w:val="left"/>
      <w:pPr>
        <w:ind w:left="5760" w:hanging="360"/>
      </w:pPr>
      <w:rPr>
        <w:rFonts w:ascii="Courier New" w:hAnsi="Courier New" w:hint="default"/>
      </w:rPr>
    </w:lvl>
    <w:lvl w:ilvl="8" w:tplc="295859D0">
      <w:start w:val="1"/>
      <w:numFmt w:val="bullet"/>
      <w:lvlText w:val=""/>
      <w:lvlJc w:val="left"/>
      <w:pPr>
        <w:ind w:left="6480" w:hanging="360"/>
      </w:pPr>
      <w:rPr>
        <w:rFonts w:ascii="Wingdings" w:hAnsi="Wingdings" w:hint="default"/>
      </w:rPr>
    </w:lvl>
  </w:abstractNum>
  <w:abstractNum w:abstractNumId="11" w15:restartNumberingAfterBreak="0">
    <w:nsid w:val="44FF3978"/>
    <w:multiLevelType w:val="hybridMultilevel"/>
    <w:tmpl w:val="F44CB0FE"/>
    <w:lvl w:ilvl="0" w:tplc="4FFE1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4C0FB7"/>
    <w:multiLevelType w:val="hybridMultilevel"/>
    <w:tmpl w:val="EAFC6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327839"/>
    <w:multiLevelType w:val="hybridMultilevel"/>
    <w:tmpl w:val="00E6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3721A8"/>
    <w:multiLevelType w:val="hybridMultilevel"/>
    <w:tmpl w:val="F3C44EA2"/>
    <w:lvl w:ilvl="0" w:tplc="D132F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93310D"/>
    <w:multiLevelType w:val="hybridMultilevel"/>
    <w:tmpl w:val="1D44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4D625"/>
    <w:multiLevelType w:val="hybridMultilevel"/>
    <w:tmpl w:val="1F3CB754"/>
    <w:lvl w:ilvl="0" w:tplc="7F00B5D0">
      <w:start w:val="1"/>
      <w:numFmt w:val="bullet"/>
      <w:lvlText w:val="·"/>
      <w:lvlJc w:val="left"/>
      <w:pPr>
        <w:ind w:left="720" w:hanging="360"/>
      </w:pPr>
      <w:rPr>
        <w:rFonts w:ascii="Symbol" w:hAnsi="Symbol" w:hint="default"/>
      </w:rPr>
    </w:lvl>
    <w:lvl w:ilvl="1" w:tplc="7E72610C">
      <w:start w:val="1"/>
      <w:numFmt w:val="bullet"/>
      <w:lvlText w:val="o"/>
      <w:lvlJc w:val="left"/>
      <w:pPr>
        <w:ind w:left="1440" w:hanging="360"/>
      </w:pPr>
      <w:rPr>
        <w:rFonts w:ascii="Courier New" w:hAnsi="Courier New" w:hint="default"/>
      </w:rPr>
    </w:lvl>
    <w:lvl w:ilvl="2" w:tplc="7F30E470">
      <w:start w:val="1"/>
      <w:numFmt w:val="bullet"/>
      <w:lvlText w:val=""/>
      <w:lvlJc w:val="left"/>
      <w:pPr>
        <w:ind w:left="2160" w:hanging="360"/>
      </w:pPr>
      <w:rPr>
        <w:rFonts w:ascii="Wingdings" w:hAnsi="Wingdings" w:hint="default"/>
      </w:rPr>
    </w:lvl>
    <w:lvl w:ilvl="3" w:tplc="3DF0806E">
      <w:start w:val="1"/>
      <w:numFmt w:val="bullet"/>
      <w:lvlText w:val=""/>
      <w:lvlJc w:val="left"/>
      <w:pPr>
        <w:ind w:left="2880" w:hanging="360"/>
      </w:pPr>
      <w:rPr>
        <w:rFonts w:ascii="Symbol" w:hAnsi="Symbol" w:hint="default"/>
      </w:rPr>
    </w:lvl>
    <w:lvl w:ilvl="4" w:tplc="897826DC">
      <w:start w:val="1"/>
      <w:numFmt w:val="bullet"/>
      <w:lvlText w:val="o"/>
      <w:lvlJc w:val="left"/>
      <w:pPr>
        <w:ind w:left="3600" w:hanging="360"/>
      </w:pPr>
      <w:rPr>
        <w:rFonts w:ascii="Courier New" w:hAnsi="Courier New" w:hint="default"/>
      </w:rPr>
    </w:lvl>
    <w:lvl w:ilvl="5" w:tplc="332A2414">
      <w:start w:val="1"/>
      <w:numFmt w:val="bullet"/>
      <w:lvlText w:val=""/>
      <w:lvlJc w:val="left"/>
      <w:pPr>
        <w:ind w:left="4320" w:hanging="360"/>
      </w:pPr>
      <w:rPr>
        <w:rFonts w:ascii="Wingdings" w:hAnsi="Wingdings" w:hint="default"/>
      </w:rPr>
    </w:lvl>
    <w:lvl w:ilvl="6" w:tplc="5F90896A">
      <w:start w:val="1"/>
      <w:numFmt w:val="bullet"/>
      <w:lvlText w:val=""/>
      <w:lvlJc w:val="left"/>
      <w:pPr>
        <w:ind w:left="5040" w:hanging="360"/>
      </w:pPr>
      <w:rPr>
        <w:rFonts w:ascii="Symbol" w:hAnsi="Symbol" w:hint="default"/>
      </w:rPr>
    </w:lvl>
    <w:lvl w:ilvl="7" w:tplc="1DB2A762">
      <w:start w:val="1"/>
      <w:numFmt w:val="bullet"/>
      <w:lvlText w:val="o"/>
      <w:lvlJc w:val="left"/>
      <w:pPr>
        <w:ind w:left="5760" w:hanging="360"/>
      </w:pPr>
      <w:rPr>
        <w:rFonts w:ascii="Courier New" w:hAnsi="Courier New" w:hint="default"/>
      </w:rPr>
    </w:lvl>
    <w:lvl w:ilvl="8" w:tplc="CE9E11B4">
      <w:start w:val="1"/>
      <w:numFmt w:val="bullet"/>
      <w:lvlText w:val=""/>
      <w:lvlJc w:val="left"/>
      <w:pPr>
        <w:ind w:left="6480" w:hanging="360"/>
      </w:pPr>
      <w:rPr>
        <w:rFonts w:ascii="Wingdings" w:hAnsi="Wingdings" w:hint="default"/>
      </w:rPr>
    </w:lvl>
  </w:abstractNum>
  <w:abstractNum w:abstractNumId="17" w15:restartNumberingAfterBreak="0">
    <w:nsid w:val="78D60BDE"/>
    <w:multiLevelType w:val="hybridMultilevel"/>
    <w:tmpl w:val="05561A58"/>
    <w:lvl w:ilvl="0" w:tplc="E46A51DE">
      <w:start w:val="1"/>
      <w:numFmt w:val="decimal"/>
      <w:lvlText w:val="%1."/>
      <w:lvlJc w:val="left"/>
      <w:pPr>
        <w:ind w:left="720" w:hanging="360"/>
      </w:pPr>
      <w:rPr>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72972"/>
    <w:multiLevelType w:val="hybridMultilevel"/>
    <w:tmpl w:val="561E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9550493">
    <w:abstractNumId w:val="10"/>
  </w:num>
  <w:num w:numId="2" w16cid:durableId="836261509">
    <w:abstractNumId w:val="16"/>
  </w:num>
  <w:num w:numId="3" w16cid:durableId="138966078">
    <w:abstractNumId w:val="9"/>
  </w:num>
  <w:num w:numId="4" w16cid:durableId="1244606284">
    <w:abstractNumId w:val="4"/>
  </w:num>
  <w:num w:numId="5" w16cid:durableId="1846557820">
    <w:abstractNumId w:val="11"/>
  </w:num>
  <w:num w:numId="6" w16cid:durableId="728305367">
    <w:abstractNumId w:val="17"/>
  </w:num>
  <w:num w:numId="7" w16cid:durableId="1924021644">
    <w:abstractNumId w:val="8"/>
  </w:num>
  <w:num w:numId="8" w16cid:durableId="1530609519">
    <w:abstractNumId w:val="5"/>
  </w:num>
  <w:num w:numId="9" w16cid:durableId="606546960">
    <w:abstractNumId w:val="6"/>
  </w:num>
  <w:num w:numId="10" w16cid:durableId="1000616035">
    <w:abstractNumId w:val="18"/>
  </w:num>
  <w:num w:numId="11" w16cid:durableId="1743871480">
    <w:abstractNumId w:val="7"/>
  </w:num>
  <w:num w:numId="12" w16cid:durableId="1084186904">
    <w:abstractNumId w:val="2"/>
  </w:num>
  <w:num w:numId="13" w16cid:durableId="1137919196">
    <w:abstractNumId w:val="15"/>
  </w:num>
  <w:num w:numId="14" w16cid:durableId="838808566">
    <w:abstractNumId w:val="3"/>
  </w:num>
  <w:num w:numId="15" w16cid:durableId="354424047">
    <w:abstractNumId w:val="13"/>
  </w:num>
  <w:num w:numId="16" w16cid:durableId="2007584586">
    <w:abstractNumId w:val="1"/>
  </w:num>
  <w:num w:numId="17" w16cid:durableId="335570546">
    <w:abstractNumId w:val="0"/>
  </w:num>
  <w:num w:numId="18" w16cid:durableId="859583106">
    <w:abstractNumId w:val="12"/>
  </w:num>
  <w:num w:numId="19" w16cid:durableId="12786341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79"/>
    <w:rsid w:val="00013173"/>
    <w:rsid w:val="000628F0"/>
    <w:rsid w:val="000A33F1"/>
    <w:rsid w:val="00173CC2"/>
    <w:rsid w:val="001D3AE8"/>
    <w:rsid w:val="001D6132"/>
    <w:rsid w:val="00247A3E"/>
    <w:rsid w:val="00264241"/>
    <w:rsid w:val="002F2CEF"/>
    <w:rsid w:val="00307A0A"/>
    <w:rsid w:val="00333714"/>
    <w:rsid w:val="00370276"/>
    <w:rsid w:val="0049282F"/>
    <w:rsid w:val="004D2878"/>
    <w:rsid w:val="0055341A"/>
    <w:rsid w:val="0058444D"/>
    <w:rsid w:val="005B55DB"/>
    <w:rsid w:val="00613F3F"/>
    <w:rsid w:val="00643F1C"/>
    <w:rsid w:val="006447B8"/>
    <w:rsid w:val="00653190"/>
    <w:rsid w:val="006F0E6E"/>
    <w:rsid w:val="008014D9"/>
    <w:rsid w:val="00833A20"/>
    <w:rsid w:val="0083415F"/>
    <w:rsid w:val="00875A1B"/>
    <w:rsid w:val="008D468D"/>
    <w:rsid w:val="009C00AA"/>
    <w:rsid w:val="00B20B48"/>
    <w:rsid w:val="00B44864"/>
    <w:rsid w:val="00BA00EA"/>
    <w:rsid w:val="00C63F17"/>
    <w:rsid w:val="00C73086"/>
    <w:rsid w:val="00D64DDA"/>
    <w:rsid w:val="00DE6145"/>
    <w:rsid w:val="00EE1479"/>
    <w:rsid w:val="00F016C5"/>
    <w:rsid w:val="00F54079"/>
    <w:rsid w:val="00F946A0"/>
    <w:rsid w:val="00FB0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CDF181"/>
  <w15:chartTrackingRefBased/>
  <w15:docId w15:val="{26C54C36-FBD2-41F6-B56E-0AFC9565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79"/>
  </w:style>
  <w:style w:type="paragraph" w:styleId="Heading1">
    <w:name w:val="heading 1"/>
    <w:basedOn w:val="Normal"/>
    <w:next w:val="Normal"/>
    <w:link w:val="Heading1Char"/>
    <w:uiPriority w:val="9"/>
    <w:qFormat/>
    <w:rsid w:val="00EE14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14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14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14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14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14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14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14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14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4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14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14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14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14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14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14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14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1479"/>
    <w:rPr>
      <w:rFonts w:eastAsiaTheme="majorEastAsia" w:cstheme="majorBidi"/>
      <w:color w:val="272727" w:themeColor="text1" w:themeTint="D8"/>
    </w:rPr>
  </w:style>
  <w:style w:type="paragraph" w:styleId="Title">
    <w:name w:val="Title"/>
    <w:basedOn w:val="Normal"/>
    <w:next w:val="Normal"/>
    <w:link w:val="TitleChar"/>
    <w:uiPriority w:val="10"/>
    <w:qFormat/>
    <w:rsid w:val="00EE14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4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4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14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1479"/>
    <w:pPr>
      <w:spacing w:before="160"/>
      <w:jc w:val="center"/>
    </w:pPr>
    <w:rPr>
      <w:i/>
      <w:iCs/>
      <w:color w:val="404040" w:themeColor="text1" w:themeTint="BF"/>
    </w:rPr>
  </w:style>
  <w:style w:type="character" w:customStyle="1" w:styleId="QuoteChar">
    <w:name w:val="Quote Char"/>
    <w:basedOn w:val="DefaultParagraphFont"/>
    <w:link w:val="Quote"/>
    <w:uiPriority w:val="29"/>
    <w:rsid w:val="00EE1479"/>
    <w:rPr>
      <w:i/>
      <w:iCs/>
      <w:color w:val="404040" w:themeColor="text1" w:themeTint="BF"/>
    </w:rPr>
  </w:style>
  <w:style w:type="paragraph" w:styleId="ListParagraph">
    <w:name w:val="List Paragraph"/>
    <w:basedOn w:val="Normal"/>
    <w:uiPriority w:val="34"/>
    <w:qFormat/>
    <w:rsid w:val="00EE1479"/>
    <w:pPr>
      <w:ind w:left="720"/>
      <w:contextualSpacing/>
    </w:pPr>
  </w:style>
  <w:style w:type="character" w:styleId="IntenseEmphasis">
    <w:name w:val="Intense Emphasis"/>
    <w:basedOn w:val="DefaultParagraphFont"/>
    <w:uiPriority w:val="21"/>
    <w:qFormat/>
    <w:rsid w:val="00EE1479"/>
    <w:rPr>
      <w:i/>
      <w:iCs/>
      <w:color w:val="0F4761" w:themeColor="accent1" w:themeShade="BF"/>
    </w:rPr>
  </w:style>
  <w:style w:type="paragraph" w:styleId="IntenseQuote">
    <w:name w:val="Intense Quote"/>
    <w:basedOn w:val="Normal"/>
    <w:next w:val="Normal"/>
    <w:link w:val="IntenseQuoteChar"/>
    <w:uiPriority w:val="30"/>
    <w:qFormat/>
    <w:rsid w:val="00EE14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1479"/>
    <w:rPr>
      <w:i/>
      <w:iCs/>
      <w:color w:val="0F4761" w:themeColor="accent1" w:themeShade="BF"/>
    </w:rPr>
  </w:style>
  <w:style w:type="character" w:styleId="IntenseReference">
    <w:name w:val="Intense Reference"/>
    <w:basedOn w:val="DefaultParagraphFont"/>
    <w:uiPriority w:val="32"/>
    <w:qFormat/>
    <w:rsid w:val="00EE1479"/>
    <w:rPr>
      <w:b/>
      <w:bCs/>
      <w:smallCaps/>
      <w:color w:val="0F4761" w:themeColor="accent1" w:themeShade="BF"/>
      <w:spacing w:val="5"/>
    </w:rPr>
  </w:style>
  <w:style w:type="paragraph" w:styleId="Header">
    <w:name w:val="header"/>
    <w:basedOn w:val="Normal"/>
    <w:link w:val="HeaderChar"/>
    <w:uiPriority w:val="99"/>
    <w:unhideWhenUsed/>
    <w:rsid w:val="00EE1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479"/>
  </w:style>
  <w:style w:type="paragraph" w:styleId="Footer">
    <w:name w:val="footer"/>
    <w:basedOn w:val="Normal"/>
    <w:link w:val="FooterChar"/>
    <w:uiPriority w:val="99"/>
    <w:unhideWhenUsed/>
    <w:rsid w:val="00EE1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479"/>
  </w:style>
  <w:style w:type="table" w:styleId="TableGrid">
    <w:name w:val="Table Grid"/>
    <w:basedOn w:val="TableNormal"/>
    <w:uiPriority w:val="39"/>
    <w:rsid w:val="00EE1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2A42341D879844B2106641B796E2CD" ma:contentTypeVersion="13" ma:contentTypeDescription="Create a new document." ma:contentTypeScope="" ma:versionID="15572750aa2873c135daa8c60d3232a7">
  <xsd:schema xmlns:xsd="http://www.w3.org/2001/XMLSchema" xmlns:xs="http://www.w3.org/2001/XMLSchema" xmlns:p="http://schemas.microsoft.com/office/2006/metadata/properties" xmlns:ns2="db385b6f-b9f4-4067-b259-6e20bc6be860" xmlns:ns3="49e842d8-dd1e-4215-b125-a2eb775ef718" targetNamespace="http://schemas.microsoft.com/office/2006/metadata/properties" ma:root="true" ma:fieldsID="786391e70dfa2e58c49263ece12077ce" ns2:_="" ns3:_="">
    <xsd:import namespace="db385b6f-b9f4-4067-b259-6e20bc6be860"/>
    <xsd:import namespace="49e842d8-dd1e-4215-b125-a2eb775ef7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85b6f-b9f4-4067-b259-6e20bc6be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2f3887-cd25-4e4e-ade2-2e1377ae2be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842d8-dd1e-4215-b125-a2eb775ef7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41b38-a9cb-4c5b-8d08-14e8ee8bf37e}" ma:internalName="TaxCatchAll" ma:showField="CatchAllData" ma:web="49e842d8-dd1e-4215-b125-a2eb775ef71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9e842d8-dd1e-4215-b125-a2eb775ef718" xsi:nil="true"/>
    <lcf76f155ced4ddcb4097134ff3c332f xmlns="db385b6f-b9f4-4067-b259-6e20bc6be8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C82DD4-89DD-47D9-ACB0-26094592A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85b6f-b9f4-4067-b259-6e20bc6be860"/>
    <ds:schemaRef ds:uri="49e842d8-dd1e-4215-b125-a2eb775ef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7B2463-50C9-4E78-A2E6-9EF0FAD7BBD8}">
  <ds:schemaRefs>
    <ds:schemaRef ds:uri="http://schemas.microsoft.com/office/2006/metadata/properties"/>
    <ds:schemaRef ds:uri="http://schemas.microsoft.com/office/infopath/2007/PartnerControls"/>
    <ds:schemaRef ds:uri="49e842d8-dd1e-4215-b125-a2eb775ef718"/>
    <ds:schemaRef ds:uri="db385b6f-b9f4-4067-b259-6e20bc6be860"/>
  </ds:schemaRefs>
</ds:datastoreItem>
</file>

<file path=customXml/itemProps3.xml><?xml version="1.0" encoding="utf-8"?>
<ds:datastoreItem xmlns:ds="http://schemas.openxmlformats.org/officeDocument/2006/customXml" ds:itemID="{A53D5CA2-D33F-4EEF-AE50-9F4271953233}">
  <ds:schemaRefs>
    <ds:schemaRef ds:uri="http://schemas.microsoft.com/sharepoint/v3/contenttype/forms"/>
  </ds:schemaRefs>
</ds:datastoreItem>
</file>

<file path=docMetadata/LabelInfo.xml><?xml version="1.0" encoding="utf-8"?>
<clbl:labelList xmlns:clbl="http://schemas.microsoft.com/office/2020/mipLabelMetadata">
  <clbl:label id="{6c1315d6-d52c-4fc5-a69c-0c9aaaed20a7}" enabled="1" method="Standard" siteId="{0bbf351d-0e12-4503-9e73-cde433401057}" contentBits="0" removed="0"/>
</clbl:labelList>
</file>

<file path=docProps/app.xml><?xml version="1.0" encoding="utf-8"?>
<Properties xmlns="http://schemas.openxmlformats.org/officeDocument/2006/extended-properties" xmlns:vt="http://schemas.openxmlformats.org/officeDocument/2006/docPropsVTypes">
  <Template>Normal</Template>
  <TotalTime>72</TotalTime>
  <Pages>3</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NYeC</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Bianchi</dc:creator>
  <cp:keywords/>
  <dc:description/>
  <cp:lastModifiedBy>Alison Bianchi</cp:lastModifiedBy>
  <cp:revision>25</cp:revision>
  <dcterms:created xsi:type="dcterms:W3CDTF">2025-03-05T00:08:00Z</dcterms:created>
  <dcterms:modified xsi:type="dcterms:W3CDTF">2025-03-05T01:26:00Z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0x0101000F2A42341D879844B2106641B796E2CD</vt:lpwstr>
  </property>
  <property fmtid="{D5CDD505-2E9C-101B-9397-08002B2CF9AE}" pid="3" name="MediaServiceImageTags">
    <vt:lpwstr/>
  </property>
</Properties>
</file>